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AA44A9"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CC67BF" w:rsidRPr="00D57C09" w:rsidRDefault="00CC67BF" w:rsidP="00D57C09">
      <w:pPr>
        <w:ind w:right="138"/>
        <w:jc w:val="center"/>
        <w:rPr>
          <w:b/>
          <w:i/>
          <w:sz w:val="28"/>
          <w:szCs w:val="28"/>
          <w:lang w:val="bg-BG"/>
        </w:rPr>
      </w:pPr>
      <w:r w:rsidRPr="00CC67BF">
        <w:rPr>
          <w:b/>
          <w:i/>
          <w:sz w:val="28"/>
          <w:szCs w:val="28"/>
          <w:lang w:val="bg-BG"/>
        </w:rPr>
        <w:t>“</w:t>
      </w:r>
      <w:r w:rsidR="00662A64" w:rsidRPr="00662A64">
        <w:rPr>
          <w:b/>
          <w:i/>
          <w:sz w:val="28"/>
          <w:szCs w:val="28"/>
          <w:lang w:val="bg-BG"/>
        </w:rPr>
        <w:t>Доставка на 2</w:t>
      </w:r>
      <w:r w:rsidR="00662A64">
        <w:rPr>
          <w:b/>
          <w:i/>
          <w:sz w:val="28"/>
          <w:szCs w:val="28"/>
          <w:lang w:val="bg-BG"/>
        </w:rPr>
        <w:t xml:space="preserve"> бр.</w:t>
      </w:r>
      <w:r w:rsidR="000930EF">
        <w:rPr>
          <w:b/>
          <w:i/>
          <w:sz w:val="28"/>
          <w:szCs w:val="28"/>
          <w:lang w:val="bg-BG"/>
        </w:rPr>
        <w:t xml:space="preserve"> нови товар</w:t>
      </w:r>
      <w:r w:rsidR="00662A64" w:rsidRPr="00662A64">
        <w:rPr>
          <w:b/>
          <w:i/>
          <w:sz w:val="28"/>
          <w:szCs w:val="28"/>
          <w:lang w:val="bg-BG"/>
        </w:rPr>
        <w:t>н</w:t>
      </w:r>
      <w:r w:rsidR="00662A64">
        <w:rPr>
          <w:b/>
          <w:i/>
          <w:sz w:val="28"/>
          <w:szCs w:val="28"/>
          <w:lang w:val="bg-BG"/>
        </w:rPr>
        <w:t>и</w:t>
      </w:r>
      <w:r w:rsidR="00662A64" w:rsidRPr="00662A64">
        <w:rPr>
          <w:b/>
          <w:i/>
          <w:sz w:val="28"/>
          <w:szCs w:val="28"/>
          <w:lang w:val="bg-BG"/>
        </w:rPr>
        <w:t xml:space="preserve"> бус</w:t>
      </w:r>
      <w:r w:rsidR="00662A64">
        <w:rPr>
          <w:b/>
          <w:i/>
          <w:sz w:val="28"/>
          <w:szCs w:val="28"/>
          <w:lang w:val="bg-BG"/>
        </w:rPr>
        <w:t>а</w:t>
      </w:r>
      <w:r w:rsidR="00662A64" w:rsidRPr="00662A64">
        <w:rPr>
          <w:b/>
          <w:i/>
          <w:sz w:val="28"/>
          <w:szCs w:val="28"/>
          <w:lang w:val="bg-BG"/>
        </w:rPr>
        <w:t xml:space="preserve"> </w:t>
      </w:r>
      <w:r w:rsidR="00662A64" w:rsidRPr="005F3102">
        <w:rPr>
          <w:b/>
          <w:i/>
          <w:sz w:val="28"/>
          <w:szCs w:val="28"/>
          <w:lang w:val="bg-BG"/>
        </w:rPr>
        <w:t>до 3,5 т.</w:t>
      </w:r>
      <w:r w:rsidR="00662A64" w:rsidRPr="00662A64">
        <w:rPr>
          <w:b/>
          <w:i/>
          <w:sz w:val="28"/>
          <w:szCs w:val="28"/>
          <w:lang w:val="bg-BG"/>
        </w:rPr>
        <w:t xml:space="preserve"> за нуждите на ОП „Благоустрояване</w:t>
      </w:r>
      <w:r w:rsidR="00662A64" w:rsidRPr="00CC67BF">
        <w:rPr>
          <w:b/>
          <w:i/>
          <w:sz w:val="28"/>
          <w:szCs w:val="28"/>
          <w:lang w:val="bg-BG"/>
        </w:rPr>
        <w:t>”</w:t>
      </w:r>
    </w:p>
    <w:p w:rsidR="007B492C" w:rsidRDefault="005206FF" w:rsidP="00CC32CC">
      <w:pPr>
        <w:ind w:right="138"/>
        <w:jc w:val="center"/>
        <w:rPr>
          <w:b/>
          <w:sz w:val="24"/>
          <w:szCs w:val="24"/>
          <w:u w:val="single"/>
        </w:rPr>
      </w:pPr>
      <w:r w:rsidRPr="00F35699">
        <w:rPr>
          <w:b/>
          <w:sz w:val="24"/>
          <w:szCs w:val="24"/>
          <w:highlight w:val="yellow"/>
          <w:u w:val="single"/>
          <w:lang w:val="bg-BG"/>
        </w:rPr>
        <w:br w:type="page"/>
      </w:r>
    </w:p>
    <w:p w:rsidR="007B492C" w:rsidRPr="007B492C" w:rsidRDefault="007B492C" w:rsidP="007B492C">
      <w:pPr>
        <w:tabs>
          <w:tab w:val="left" w:pos="0"/>
        </w:tabs>
        <w:ind w:right="99"/>
        <w:jc w:val="center"/>
        <w:rPr>
          <w:b/>
          <w:sz w:val="24"/>
          <w:szCs w:val="24"/>
        </w:rPr>
      </w:pPr>
      <w:r>
        <w:rPr>
          <w:b/>
          <w:sz w:val="24"/>
          <w:szCs w:val="24"/>
          <w:lang w:val="bg-BG"/>
        </w:rPr>
        <w:lastRenderedPageBreak/>
        <w:t>РАЗДЕЛ I</w:t>
      </w:r>
      <w:r w:rsidRPr="005F3102">
        <w:rPr>
          <w:b/>
          <w:sz w:val="24"/>
          <w:szCs w:val="24"/>
          <w:lang w:val="bg-BG"/>
        </w:rPr>
        <w:t xml:space="preserve">. </w:t>
      </w:r>
    </w:p>
    <w:p w:rsidR="005F3102" w:rsidRPr="005F3102" w:rsidRDefault="005F3102" w:rsidP="00CC32CC">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D57C09" w:rsidRDefault="005F3102" w:rsidP="00D57C09">
      <w:pPr>
        <w:ind w:right="138" w:firstLine="360"/>
        <w:jc w:val="both"/>
        <w:rPr>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000930EF">
        <w:rPr>
          <w:b/>
          <w:bCs/>
          <w:sz w:val="24"/>
          <w:szCs w:val="24"/>
          <w:lang w:val="bg-BG"/>
        </w:rPr>
        <w:t>“Доставка на 2 бр. нови товар</w:t>
      </w:r>
      <w:r w:rsidR="00CC32CC" w:rsidRPr="00CC32CC">
        <w:rPr>
          <w:b/>
          <w:bCs/>
          <w:sz w:val="24"/>
          <w:szCs w:val="24"/>
          <w:lang w:val="bg-BG"/>
        </w:rPr>
        <w:t>ни буса до 3,5 т. за нуждите на ОП „Благоустрояване”</w:t>
      </w:r>
      <w:r w:rsidRPr="005F3102">
        <w:rPr>
          <w:bCs/>
          <w:sz w:val="24"/>
          <w:szCs w:val="24"/>
          <w:lang w:val="bg-BG"/>
        </w:rPr>
        <w:t>.</w:t>
      </w:r>
    </w:p>
    <w:p w:rsidR="005F3102" w:rsidRPr="005F3102" w:rsidRDefault="005F3102" w:rsidP="005F3102">
      <w:pPr>
        <w:jc w:val="both"/>
        <w:rPr>
          <w:sz w:val="24"/>
          <w:lang w:val="bg-BG" w:eastAsia="bg-BG"/>
        </w:rPr>
      </w:pPr>
    </w:p>
    <w:p w:rsidR="005F3102" w:rsidRPr="00CC32CC" w:rsidRDefault="005F3102" w:rsidP="00CC32CC">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4A3F43" w:rsidRPr="00CC32CC" w:rsidRDefault="00AE06E8" w:rsidP="00AE06E8">
      <w:pPr>
        <w:ind w:right="-49"/>
        <w:jc w:val="both"/>
        <w:rPr>
          <w:b/>
          <w:sz w:val="24"/>
          <w:szCs w:val="24"/>
          <w:lang w:val="bg-BG"/>
        </w:rPr>
      </w:pPr>
      <w:r>
        <w:rPr>
          <w:b/>
          <w:sz w:val="24"/>
          <w:szCs w:val="24"/>
          <w:lang w:val="bg-BG"/>
        </w:rPr>
        <w:tab/>
      </w:r>
      <w:r w:rsidR="005F3102" w:rsidRPr="005F3102">
        <w:rPr>
          <w:b/>
          <w:sz w:val="24"/>
          <w:szCs w:val="24"/>
          <w:lang w:val="bg-BG"/>
        </w:rPr>
        <w:t xml:space="preserve">Максималният финансов ресурс за изпълнение предмета на настоящата процедура е до </w:t>
      </w:r>
      <w:r w:rsidR="00D57C09">
        <w:rPr>
          <w:b/>
          <w:sz w:val="24"/>
          <w:szCs w:val="24"/>
          <w:lang w:val="bg-BG"/>
        </w:rPr>
        <w:t>125 000</w:t>
      </w:r>
      <w:r w:rsidR="00D57C09" w:rsidRPr="005F3102">
        <w:rPr>
          <w:b/>
          <w:sz w:val="24"/>
          <w:szCs w:val="24"/>
          <w:lang w:val="bg-BG"/>
        </w:rPr>
        <w:t xml:space="preserve"> лв. (</w:t>
      </w:r>
      <w:r w:rsidR="00D57C09">
        <w:rPr>
          <w:b/>
          <w:sz w:val="24"/>
          <w:szCs w:val="24"/>
          <w:lang w:val="bg-BG"/>
        </w:rPr>
        <w:t>сто двадесет и пет</w:t>
      </w:r>
      <w:r w:rsidR="00D57C09" w:rsidRPr="005F3102">
        <w:rPr>
          <w:b/>
          <w:sz w:val="24"/>
          <w:szCs w:val="24"/>
          <w:lang w:val="bg-BG"/>
        </w:rPr>
        <w:t xml:space="preserve"> хиляди лева) без ДДС </w:t>
      </w:r>
      <w:r w:rsidR="00D57C09" w:rsidRPr="005F3102">
        <w:rPr>
          <w:sz w:val="24"/>
          <w:szCs w:val="24"/>
          <w:lang w:val="bg-BG"/>
        </w:rPr>
        <w:t xml:space="preserve">или </w:t>
      </w:r>
      <w:r w:rsidR="00D57C09" w:rsidRPr="005F3102">
        <w:rPr>
          <w:b/>
          <w:sz w:val="24"/>
          <w:szCs w:val="24"/>
          <w:lang w:val="bg-BG"/>
        </w:rPr>
        <w:t>1</w:t>
      </w:r>
      <w:r w:rsidR="00D57C09">
        <w:rPr>
          <w:b/>
          <w:sz w:val="24"/>
          <w:szCs w:val="24"/>
          <w:lang w:val="bg-BG"/>
        </w:rPr>
        <w:t>5</w:t>
      </w:r>
      <w:r w:rsidR="00D57C09" w:rsidRPr="005F3102">
        <w:rPr>
          <w:b/>
          <w:sz w:val="24"/>
          <w:szCs w:val="24"/>
          <w:lang w:val="bg-BG"/>
        </w:rPr>
        <w:t>0 000 лв. (</w:t>
      </w:r>
      <w:r w:rsidR="00D57C09">
        <w:rPr>
          <w:b/>
          <w:sz w:val="24"/>
          <w:szCs w:val="24"/>
          <w:lang w:val="bg-BG"/>
        </w:rPr>
        <w:t>сто и петдесет</w:t>
      </w:r>
      <w:r w:rsidR="00D57C09" w:rsidRPr="005F3102">
        <w:rPr>
          <w:b/>
          <w:sz w:val="24"/>
          <w:szCs w:val="24"/>
          <w:lang w:val="bg-BG"/>
        </w:rPr>
        <w:t xml:space="preserve"> хиляди лева) с ДДС</w:t>
      </w:r>
      <w:r w:rsidR="005F3102" w:rsidRPr="005F3102">
        <w:rPr>
          <w:b/>
          <w:sz w:val="24"/>
          <w:szCs w:val="24"/>
          <w:lang w:val="bg-BG"/>
        </w:rPr>
        <w:t>.</w:t>
      </w:r>
    </w:p>
    <w:p w:rsidR="005F3102" w:rsidRDefault="004A3F43" w:rsidP="00CC32CC">
      <w:pPr>
        <w:pStyle w:val="ListParagraph"/>
        <w:ind w:left="0" w:firstLine="708"/>
        <w:jc w:val="both"/>
        <w:rPr>
          <w:sz w:val="24"/>
          <w:szCs w:val="24"/>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 xml:space="preserve">и, товарно-разтоварни дейности </w:t>
      </w:r>
      <w:r w:rsidRPr="004A3F43">
        <w:rPr>
          <w:sz w:val="24"/>
          <w:szCs w:val="24"/>
          <w:lang w:val="bg-BG"/>
        </w:rPr>
        <w:t>и други разходи.</w:t>
      </w:r>
    </w:p>
    <w:p w:rsidR="00810C01" w:rsidRPr="00810C01" w:rsidRDefault="00810C01" w:rsidP="00810C01">
      <w:pPr>
        <w:ind w:right="-45" w:firstLine="567"/>
        <w:jc w:val="both"/>
        <w:rPr>
          <w:rFonts w:eastAsia="Calibri"/>
          <w:b/>
          <w:i/>
          <w:sz w:val="24"/>
          <w:szCs w:val="24"/>
          <w:u w:val="single"/>
        </w:rPr>
      </w:pPr>
      <w:r w:rsidRPr="00810C01">
        <w:rPr>
          <w:snapToGrid w:val="0"/>
          <w:sz w:val="24"/>
          <w:szCs w:val="24"/>
          <w:lang w:val="bg-BG"/>
        </w:rPr>
        <w:t xml:space="preserve">Плащането се осъществява, чрез бюджета на </w:t>
      </w:r>
      <w:r w:rsidRPr="00810C01">
        <w:rPr>
          <w:sz w:val="24"/>
          <w:szCs w:val="24"/>
          <w:lang w:val="bg-BG" w:eastAsia="bg-BG"/>
        </w:rPr>
        <w:t>ОП „Благоустрояване”</w:t>
      </w:r>
      <w:r>
        <w:rPr>
          <w:sz w:val="24"/>
          <w:szCs w:val="24"/>
          <w:lang w:val="bg-BG" w:eastAsia="bg-BG"/>
        </w:rPr>
        <w:t>, гр. Габрово</w:t>
      </w:r>
      <w:r w:rsidRPr="00810C01">
        <w:rPr>
          <w:sz w:val="24"/>
          <w:szCs w:val="24"/>
          <w:lang w:val="bg-BG" w:eastAsia="bg-BG"/>
        </w:rPr>
        <w:t>, второстепенен разпоредител с бюджет към Община Габрово.</w:t>
      </w:r>
    </w:p>
    <w:p w:rsidR="005F3102" w:rsidRPr="005F310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CC32CC" w:rsidRPr="00CC32CC" w:rsidRDefault="00CC32CC" w:rsidP="00CC32CC">
      <w:pPr>
        <w:tabs>
          <w:tab w:val="left" w:pos="0"/>
          <w:tab w:val="left" w:pos="993"/>
        </w:tabs>
        <w:ind w:right="-49" w:firstLine="709"/>
        <w:jc w:val="both"/>
        <w:rPr>
          <w:b/>
          <w:bCs/>
          <w:iCs/>
          <w:sz w:val="24"/>
          <w:szCs w:val="24"/>
          <w:lang w:val="bg-BG"/>
        </w:rPr>
      </w:pPr>
      <w:r w:rsidRPr="00CC32CC">
        <w:rPr>
          <w:b/>
          <w:bCs/>
          <w:iCs/>
          <w:sz w:val="24"/>
          <w:szCs w:val="24"/>
          <w:lang w:val="bg-BG"/>
        </w:rPr>
        <w:t>Поръчката не предвижда обособени позиции, тъй като предмета на процедурата няма разнороден характер.</w:t>
      </w:r>
    </w:p>
    <w:p w:rsidR="005F3102" w:rsidRPr="005F3102" w:rsidRDefault="005F3102"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7B492C" w:rsidRDefault="005F3102" w:rsidP="007B492C">
      <w:pPr>
        <w:tabs>
          <w:tab w:val="left" w:pos="0"/>
        </w:tabs>
        <w:overflowPunct w:val="0"/>
        <w:autoSpaceDE w:val="0"/>
        <w:autoSpaceDN w:val="0"/>
        <w:adjustRightInd w:val="0"/>
        <w:ind w:right="99"/>
        <w:jc w:val="center"/>
        <w:rPr>
          <w:b/>
          <w:sz w:val="24"/>
          <w:szCs w:val="24"/>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5F3102" w:rsidRPr="00CC32CC" w:rsidRDefault="008E7F5E" w:rsidP="00AE06E8">
      <w:pPr>
        <w:suppressAutoHyphens/>
        <w:ind w:firstLine="570"/>
        <w:jc w:val="both"/>
        <w:rPr>
          <w:b/>
          <w:sz w:val="24"/>
          <w:szCs w:val="24"/>
        </w:rPr>
      </w:pPr>
      <w:r w:rsidRPr="008E7F5E">
        <w:rPr>
          <w:rFonts w:cs="HebarU"/>
          <w:bCs/>
          <w:sz w:val="24"/>
          <w:szCs w:val="24"/>
          <w:lang w:val="bg-BG"/>
        </w:rPr>
        <w:t>Предметът на процедурата касае доставка</w:t>
      </w:r>
      <w:r w:rsidRPr="008E7F5E">
        <w:rPr>
          <w:rFonts w:cs="HebarU"/>
          <w:bCs/>
          <w:sz w:val="24"/>
          <w:szCs w:val="24"/>
        </w:rPr>
        <w:t xml:space="preserve"> </w:t>
      </w:r>
      <w:r w:rsidRPr="008E7F5E">
        <w:rPr>
          <w:rFonts w:cs="HebarU"/>
          <w:bCs/>
          <w:sz w:val="24"/>
          <w:szCs w:val="24"/>
          <w:lang w:val="bg-BG"/>
        </w:rPr>
        <w:t>на</w:t>
      </w:r>
      <w:r w:rsidR="00CC32CC">
        <w:rPr>
          <w:b/>
          <w:sz w:val="24"/>
          <w:szCs w:val="24"/>
        </w:rPr>
        <w:t xml:space="preserve"> </w:t>
      </w:r>
      <w:r w:rsidR="000930EF">
        <w:rPr>
          <w:b/>
          <w:sz w:val="24"/>
          <w:szCs w:val="24"/>
          <w:lang w:val="bg-BG"/>
        </w:rPr>
        <w:t>2 бр. нови товар</w:t>
      </w:r>
      <w:r w:rsidR="006B584C" w:rsidRPr="006B584C">
        <w:rPr>
          <w:b/>
          <w:sz w:val="24"/>
          <w:szCs w:val="24"/>
          <w:lang w:val="bg-BG"/>
        </w:rPr>
        <w:t>ни буса до 3,5 т. за нуждите на ОП „Благоустрояване”</w:t>
      </w:r>
      <w:r w:rsidR="00CC32CC">
        <w:rPr>
          <w:b/>
          <w:bCs/>
          <w:sz w:val="24"/>
          <w:szCs w:val="24"/>
        </w:rPr>
        <w:t>.</w:t>
      </w:r>
    </w:p>
    <w:p w:rsidR="005F3102" w:rsidRPr="00CC32CC" w:rsidRDefault="005F3102" w:rsidP="00CC32CC">
      <w:pPr>
        <w:jc w:val="both"/>
        <w:rPr>
          <w:sz w:val="24"/>
          <w:szCs w:val="24"/>
          <w:lan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6B584C" w:rsidRPr="00CC32CC" w:rsidRDefault="005F3102" w:rsidP="00CC32CC">
      <w:pPr>
        <w:tabs>
          <w:tab w:val="left" w:pos="720"/>
        </w:tabs>
        <w:autoSpaceDE w:val="0"/>
        <w:autoSpaceDN w:val="0"/>
        <w:adjustRightInd w:val="0"/>
        <w:rPr>
          <w:sz w:val="24"/>
          <w:szCs w:val="24"/>
        </w:rPr>
      </w:pPr>
      <w:r w:rsidRPr="005F3102">
        <w:rPr>
          <w:b/>
          <w:sz w:val="24"/>
          <w:szCs w:val="24"/>
          <w:lang w:val="bg-BG"/>
        </w:rPr>
        <w:tab/>
      </w:r>
      <w:r w:rsidRPr="006B584C">
        <w:rPr>
          <w:sz w:val="24"/>
          <w:szCs w:val="24"/>
          <w:lang w:val="bg-BG"/>
        </w:rPr>
        <w:t>Срок за изпълнение е</w:t>
      </w:r>
      <w:r w:rsidR="00CC32CC">
        <w:rPr>
          <w:sz w:val="24"/>
          <w:szCs w:val="24"/>
        </w:rPr>
        <w:t xml:space="preserve"> </w:t>
      </w:r>
      <w:proofErr w:type="spellStart"/>
      <w:r w:rsidR="006B584C" w:rsidRPr="00CC32CC">
        <w:rPr>
          <w:sz w:val="24"/>
          <w:szCs w:val="24"/>
        </w:rPr>
        <w:t>до</w:t>
      </w:r>
      <w:proofErr w:type="spellEnd"/>
      <w:r w:rsidR="006B584C" w:rsidRPr="00CC32CC">
        <w:rPr>
          <w:sz w:val="24"/>
          <w:szCs w:val="24"/>
        </w:rPr>
        <w:t xml:space="preserve"> </w:t>
      </w:r>
      <w:r w:rsidR="006B584C" w:rsidRPr="00CC32CC">
        <w:rPr>
          <w:b/>
          <w:sz w:val="24"/>
          <w:szCs w:val="24"/>
          <w:lang w:val="bg-BG"/>
        </w:rPr>
        <w:t>12</w:t>
      </w:r>
      <w:r w:rsidR="006B584C" w:rsidRPr="00CC32CC">
        <w:rPr>
          <w:b/>
          <w:sz w:val="24"/>
          <w:szCs w:val="24"/>
        </w:rPr>
        <w:t xml:space="preserve">0 </w:t>
      </w:r>
      <w:proofErr w:type="spellStart"/>
      <w:r w:rsidR="006B584C" w:rsidRPr="00CC32CC">
        <w:rPr>
          <w:b/>
          <w:sz w:val="24"/>
          <w:szCs w:val="24"/>
        </w:rPr>
        <w:t>кал</w:t>
      </w:r>
      <w:proofErr w:type="spellEnd"/>
      <w:r w:rsidR="006B584C" w:rsidRPr="00CC32CC">
        <w:rPr>
          <w:b/>
          <w:sz w:val="24"/>
          <w:szCs w:val="24"/>
        </w:rPr>
        <w:t xml:space="preserve">. </w:t>
      </w:r>
      <w:proofErr w:type="spellStart"/>
      <w:proofErr w:type="gramStart"/>
      <w:r w:rsidR="006B584C" w:rsidRPr="00CC32CC">
        <w:rPr>
          <w:b/>
          <w:sz w:val="24"/>
          <w:szCs w:val="24"/>
        </w:rPr>
        <w:t>дни</w:t>
      </w:r>
      <w:proofErr w:type="spellEnd"/>
      <w:proofErr w:type="gramEnd"/>
      <w:r w:rsidR="006B584C" w:rsidRPr="00CC32CC">
        <w:rPr>
          <w:sz w:val="24"/>
          <w:szCs w:val="24"/>
        </w:rPr>
        <w:t xml:space="preserve">, </w:t>
      </w:r>
      <w:proofErr w:type="spellStart"/>
      <w:r w:rsidR="006B584C" w:rsidRPr="00CC32CC">
        <w:rPr>
          <w:sz w:val="24"/>
          <w:szCs w:val="24"/>
        </w:rPr>
        <w:t>считано</w:t>
      </w:r>
      <w:proofErr w:type="spellEnd"/>
      <w:r w:rsidR="006B584C" w:rsidRPr="00CC32CC">
        <w:rPr>
          <w:sz w:val="24"/>
          <w:szCs w:val="24"/>
        </w:rPr>
        <w:t xml:space="preserve"> </w:t>
      </w:r>
      <w:proofErr w:type="spellStart"/>
      <w:r w:rsidR="006B584C" w:rsidRPr="00CC32CC">
        <w:rPr>
          <w:sz w:val="24"/>
          <w:szCs w:val="24"/>
        </w:rPr>
        <w:t>от</w:t>
      </w:r>
      <w:proofErr w:type="spellEnd"/>
      <w:r w:rsidR="006B584C" w:rsidRPr="00CC32CC">
        <w:rPr>
          <w:sz w:val="24"/>
          <w:szCs w:val="24"/>
        </w:rPr>
        <w:t xml:space="preserve"> </w:t>
      </w:r>
      <w:proofErr w:type="spellStart"/>
      <w:r w:rsidR="006B584C" w:rsidRPr="00CC32CC">
        <w:rPr>
          <w:sz w:val="24"/>
          <w:szCs w:val="24"/>
        </w:rPr>
        <w:t>датата</w:t>
      </w:r>
      <w:proofErr w:type="spellEnd"/>
      <w:r w:rsidR="006B584C" w:rsidRPr="00CC32CC">
        <w:rPr>
          <w:sz w:val="24"/>
          <w:szCs w:val="24"/>
        </w:rPr>
        <w:t xml:space="preserve"> на </w:t>
      </w:r>
      <w:proofErr w:type="spellStart"/>
      <w:r w:rsidR="006B584C" w:rsidRPr="00CC32CC">
        <w:rPr>
          <w:sz w:val="24"/>
          <w:szCs w:val="24"/>
        </w:rPr>
        <w:t>сключване</w:t>
      </w:r>
      <w:proofErr w:type="spellEnd"/>
      <w:r w:rsidR="006B584C" w:rsidRPr="00CC32CC">
        <w:rPr>
          <w:sz w:val="24"/>
          <w:szCs w:val="24"/>
        </w:rPr>
        <w:t xml:space="preserve"> на </w:t>
      </w:r>
      <w:proofErr w:type="spellStart"/>
      <w:r w:rsidR="006B584C" w:rsidRPr="00CC32CC">
        <w:rPr>
          <w:sz w:val="24"/>
          <w:szCs w:val="24"/>
        </w:rPr>
        <w:t>договора</w:t>
      </w:r>
      <w:proofErr w:type="spellEnd"/>
      <w:r w:rsidR="006B584C" w:rsidRPr="00CC32CC">
        <w:rPr>
          <w:sz w:val="24"/>
          <w:szCs w:val="24"/>
        </w:rPr>
        <w:t>.</w:t>
      </w:r>
    </w:p>
    <w:p w:rsidR="006B584C" w:rsidRPr="006B584C" w:rsidRDefault="00AE06E8" w:rsidP="00AE06E8">
      <w:pPr>
        <w:jc w:val="both"/>
        <w:rPr>
          <w:bCs/>
          <w:sz w:val="24"/>
          <w:szCs w:val="24"/>
          <w:lang w:val="bg-BG"/>
        </w:rPr>
      </w:pPr>
      <w:r>
        <w:rPr>
          <w:b/>
          <w:sz w:val="24"/>
          <w:szCs w:val="24"/>
          <w:lang w:val="bg-BG"/>
        </w:rPr>
        <w:tab/>
      </w:r>
      <w:r w:rsidR="006B584C" w:rsidRPr="006B584C">
        <w:rPr>
          <w:sz w:val="24"/>
          <w:szCs w:val="24"/>
          <w:lang w:val="bg-BG"/>
        </w:rPr>
        <w:t xml:space="preserve">Точният срок за изпълнение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AE06E8">
      <w:pPr>
        <w:tabs>
          <w:tab w:val="left" w:pos="-3261"/>
        </w:tabs>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5F3102" w:rsidRPr="005F3102" w:rsidRDefault="005F3102" w:rsidP="00AE06E8">
      <w:pPr>
        <w:tabs>
          <w:tab w:val="left" w:pos="709"/>
        </w:tabs>
        <w:autoSpaceDE w:val="0"/>
        <w:autoSpaceDN w:val="0"/>
        <w:adjustRightInd w:val="0"/>
        <w:jc w:val="both"/>
        <w:rPr>
          <w:b/>
          <w:sz w:val="24"/>
          <w:szCs w:val="24"/>
          <w:lang w:val="bg-BG"/>
        </w:rPr>
      </w:pPr>
      <w:r w:rsidRPr="005F3102">
        <w:rPr>
          <w:b/>
          <w:sz w:val="24"/>
          <w:szCs w:val="24"/>
          <w:lang w:val="bg-BG"/>
        </w:rPr>
        <w:lastRenderedPageBreak/>
        <w:tab/>
        <w:t xml:space="preserve"> Г) </w:t>
      </w:r>
      <w:r w:rsidR="006B584C" w:rsidRPr="006B584C">
        <w:rPr>
          <w:sz w:val="24"/>
          <w:szCs w:val="24"/>
          <w:lang w:val="bg-BG"/>
        </w:rPr>
        <w:t xml:space="preserve">Класирането на офертите се извършва на база </w:t>
      </w:r>
      <w:r w:rsidR="006B584C" w:rsidRPr="006B584C">
        <w:rPr>
          <w:b/>
          <w:sz w:val="24"/>
          <w:szCs w:val="24"/>
          <w:lang w:val="bg-BG"/>
        </w:rPr>
        <w:t>икономически най-изгодна оферта</w:t>
      </w:r>
      <w:r w:rsidR="006B584C" w:rsidRPr="006B584C">
        <w:rPr>
          <w:sz w:val="24"/>
          <w:szCs w:val="24"/>
          <w:lang w:val="bg-BG"/>
        </w:rPr>
        <w:t xml:space="preserve">, въз основа на  </w:t>
      </w:r>
      <w:r w:rsidR="006B584C" w:rsidRPr="006B584C">
        <w:rPr>
          <w:b/>
          <w:sz w:val="24"/>
          <w:szCs w:val="24"/>
          <w:lang w:val="bg-BG"/>
        </w:rPr>
        <w:t>критерий  „оптимално съотношение качество/цена”</w:t>
      </w:r>
      <w:r w:rsidR="006B584C" w:rsidRPr="006B584C">
        <w:rPr>
          <w:sz w:val="24"/>
          <w:szCs w:val="24"/>
          <w:lang w:val="bg-BG"/>
        </w:rPr>
        <w:t xml:space="preserve">, съгласно методиката за оценка, неразделна част от документацията. </w:t>
      </w:r>
    </w:p>
    <w:p w:rsidR="00C50930" w:rsidRDefault="00C50930" w:rsidP="005F3102">
      <w:pPr>
        <w:ind w:right="-49"/>
        <w:jc w:val="center"/>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C50930" w:rsidRPr="005F3102" w:rsidRDefault="00C50930" w:rsidP="005F3102">
      <w:pPr>
        <w:widowControl w:val="0"/>
        <w:autoSpaceDE w:val="0"/>
        <w:autoSpaceDN w:val="0"/>
        <w:adjustRightInd w:val="0"/>
        <w:ind w:firstLine="480"/>
        <w:jc w:val="both"/>
        <w:rPr>
          <w:b/>
          <w:sz w:val="24"/>
          <w:szCs w:val="24"/>
          <w:lang w:val="bg-BG" w:eastAsia="bg-BG"/>
        </w:rPr>
      </w:pPr>
    </w:p>
    <w:p w:rsidR="005F3102" w:rsidRPr="00CC32CC" w:rsidRDefault="005F3102" w:rsidP="00CC32CC">
      <w:pPr>
        <w:widowControl w:val="0"/>
        <w:autoSpaceDE w:val="0"/>
        <w:autoSpaceDN w:val="0"/>
        <w:adjustRightInd w:val="0"/>
        <w:jc w:val="both"/>
        <w:rPr>
          <w:b/>
          <w:bCs/>
          <w:sz w:val="24"/>
          <w:szCs w:val="24"/>
          <w:lang w:val="bg-BG" w:eastAsia="bg-BG"/>
        </w:rPr>
      </w:pPr>
      <w:r w:rsidRPr="005F3102">
        <w:rPr>
          <w:b/>
          <w:sz w:val="24"/>
          <w:szCs w:val="24"/>
          <w:lang w:val="bg-BG" w:eastAsia="bg-BG"/>
        </w:rPr>
        <w:lastRenderedPageBreak/>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Pr="005F3102">
        <w:rPr>
          <w:sz w:val="24"/>
          <w:szCs w:val="24"/>
          <w:lang w:val="bg-BG" w:eastAsia="bg-BG"/>
        </w:rPr>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lastRenderedPageBreak/>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w:t>
      </w:r>
      <w:r w:rsidRPr="005F3102">
        <w:rPr>
          <w:sz w:val="24"/>
          <w:szCs w:val="24"/>
          <w:lang w:val="bg-BG" w:eastAsia="bg-BG"/>
        </w:rPr>
        <w:lastRenderedPageBreak/>
        <w:t>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CC32CC" w:rsidP="005F3102">
      <w:pPr>
        <w:tabs>
          <w:tab w:val="left" w:pos="709"/>
        </w:tabs>
        <w:jc w:val="both"/>
        <w:rPr>
          <w:sz w:val="24"/>
          <w:szCs w:val="24"/>
          <w:lang w:val="bg-BG" w:eastAsia="bg-BG"/>
        </w:rPr>
      </w:pPr>
      <w:r>
        <w:rPr>
          <w:sz w:val="24"/>
          <w:szCs w:val="24"/>
          <w:lang w:val="bg-BG" w:eastAsia="bg-BG"/>
        </w:rPr>
        <w:tab/>
      </w:r>
      <w:r w:rsidR="005F3102" w:rsidRPr="005F3102">
        <w:rPr>
          <w:sz w:val="24"/>
          <w:szCs w:val="24"/>
          <w:lang w:val="bg-BG" w:eastAsia="bg-BG"/>
        </w:rPr>
        <w:t xml:space="preserve">Информацията относно липсата или наличието на обстоятелства по </w:t>
      </w:r>
      <w:r w:rsidR="005F3102" w:rsidRPr="005F3102">
        <w:rPr>
          <w:b/>
          <w:sz w:val="24"/>
          <w:szCs w:val="24"/>
          <w:lang w:val="bg-BG" w:eastAsia="bg-BG"/>
        </w:rPr>
        <w:t>т. 2.2.4. и т. 2.2.5.</w:t>
      </w:r>
      <w:r w:rsidR="005F3102"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CC32CC" w:rsidRDefault="005F3102" w:rsidP="00CC32CC">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0"/>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lastRenderedPageBreak/>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CC32CC" w:rsidRDefault="005F3102" w:rsidP="00CC32CC">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CC32CC" w:rsidRDefault="005F3102" w:rsidP="00CC32CC">
      <w:pPr>
        <w:widowControl w:val="0"/>
        <w:autoSpaceDE w:val="0"/>
        <w:autoSpaceDN w:val="0"/>
        <w:adjustRightInd w:val="0"/>
        <w:jc w:val="both"/>
        <w:rPr>
          <w:sz w:val="24"/>
          <w:szCs w:val="24"/>
          <w:lang w:val="bg-BG"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CC32CC" w:rsidRDefault="005F3102" w:rsidP="00CC32CC">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B32495" w:rsidRPr="002D0335" w:rsidRDefault="00B32495" w:rsidP="00B32495">
      <w:pPr>
        <w:jc w:val="both"/>
        <w:rPr>
          <w:b/>
          <w:sz w:val="24"/>
          <w:szCs w:val="24"/>
          <w:lang w:val="bg-BG"/>
        </w:rPr>
      </w:pPr>
      <w:r w:rsidRPr="00F35699">
        <w:rPr>
          <w:b/>
          <w:sz w:val="24"/>
          <w:szCs w:val="24"/>
          <w:lang w:val="bg-BG"/>
        </w:rPr>
        <w:t xml:space="preserve">3. </w:t>
      </w:r>
      <w:bookmarkStart w:id="1" w:name="OLE_LINK481"/>
      <w:bookmarkStart w:id="2" w:name="OLE_LINK482"/>
      <w:r>
        <w:rPr>
          <w:b/>
          <w:sz w:val="24"/>
          <w:szCs w:val="24"/>
          <w:lang w:val="bg-BG"/>
        </w:rPr>
        <w:t>К</w:t>
      </w:r>
      <w:r w:rsidRPr="002D0335">
        <w:rPr>
          <w:b/>
          <w:sz w:val="24"/>
          <w:szCs w:val="24"/>
          <w:lang w:val="bg-BG"/>
        </w:rPr>
        <w:t>ритерии за подбор</w:t>
      </w:r>
    </w:p>
    <w:bookmarkEnd w:id="1"/>
    <w:bookmarkEnd w:id="2"/>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3" w:name="OLE_LINK450"/>
      <w:bookmarkStart w:id="4" w:name="OLE_LINK451"/>
      <w:bookmarkStart w:id="5" w:name="OLE_LINK452"/>
      <w:r>
        <w:rPr>
          <w:sz w:val="24"/>
          <w:szCs w:val="24"/>
          <w:lang w:val="bg-BG"/>
        </w:rPr>
        <w:t xml:space="preserve"> </w:t>
      </w:r>
      <w:r w:rsidRPr="002D0335">
        <w:rPr>
          <w:sz w:val="24"/>
          <w:szCs w:val="24"/>
          <w:lang w:val="bg-BG"/>
        </w:rPr>
        <w:t>Икономическо и финансово състояние</w:t>
      </w:r>
      <w:bookmarkEnd w:id="3"/>
      <w:bookmarkEnd w:id="4"/>
      <w:bookmarkEnd w:id="5"/>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6" w:name="OLE_LINK453"/>
      <w:bookmarkStart w:id="7" w:name="OLE_LINK454"/>
      <w:bookmarkStart w:id="8"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6"/>
      <w:bookmarkEnd w:id="7"/>
      <w:bookmarkEnd w:id="8"/>
      <w:r w:rsidRPr="0088323F">
        <w:rPr>
          <w:sz w:val="24"/>
          <w:szCs w:val="24"/>
          <w:lang w:val="bg-BG"/>
        </w:rPr>
        <w:t xml:space="preserve">  </w:t>
      </w:r>
    </w:p>
    <w:p w:rsidR="00B32495" w:rsidRPr="00B32495" w:rsidRDefault="00B32495" w:rsidP="00B32495">
      <w:pPr>
        <w:pStyle w:val="ListParagraph"/>
        <w:shd w:val="clear" w:color="auto" w:fill="FFFFFF"/>
        <w:ind w:left="360"/>
        <w:jc w:val="both"/>
        <w:rPr>
          <w:bCs/>
          <w:sz w:val="24"/>
          <w:szCs w:val="24"/>
          <w:lang w:val="bg-BG" w:eastAsia="bg-BG"/>
        </w:rPr>
      </w:pPr>
      <w:r w:rsidRPr="00B32495">
        <w:rPr>
          <w:bCs/>
          <w:sz w:val="24"/>
          <w:szCs w:val="24"/>
          <w:lang w:val="bg-BG" w:eastAsia="bg-BG"/>
        </w:rPr>
        <w:t xml:space="preserve">  </w:t>
      </w:r>
    </w:p>
    <w:p w:rsidR="00CC32CC" w:rsidRPr="00A24E11" w:rsidRDefault="00CC32CC" w:rsidP="00CC32CC">
      <w:pPr>
        <w:ind w:right="61"/>
        <w:jc w:val="both"/>
        <w:rPr>
          <w:b/>
          <w:color w:val="FF0000"/>
          <w:sz w:val="24"/>
          <w:szCs w:val="24"/>
          <w:lang w:val="bg-BG"/>
        </w:rPr>
      </w:pPr>
      <w:r w:rsidRPr="00A24E11">
        <w:rPr>
          <w:b/>
          <w:sz w:val="24"/>
          <w:szCs w:val="24"/>
          <w:lang w:val="bg-BG"/>
        </w:rPr>
        <w:t xml:space="preserve">Участникът следва през последните 3 (три) години, считано </w:t>
      </w:r>
      <w:r w:rsidRPr="00A24E11">
        <w:rPr>
          <w:b/>
          <w:i/>
          <w:sz w:val="24"/>
          <w:szCs w:val="24"/>
          <w:lang w:val="bg-BG"/>
        </w:rPr>
        <w:t>от датата на подаване на офертата</w:t>
      </w:r>
      <w:r w:rsidRPr="00A24E11">
        <w:rPr>
          <w:b/>
          <w:sz w:val="24"/>
          <w:szCs w:val="24"/>
          <w:lang w:val="bg-BG"/>
        </w:rPr>
        <w:t xml:space="preserve"> да е извършил доставка</w:t>
      </w:r>
      <w:r w:rsidR="00C50930" w:rsidRPr="00A24E11">
        <w:rPr>
          <w:b/>
          <w:sz w:val="24"/>
          <w:szCs w:val="24"/>
          <w:lang w:val="bg-BG"/>
        </w:rPr>
        <w:t>/и</w:t>
      </w:r>
      <w:r w:rsidRPr="00A24E11">
        <w:rPr>
          <w:b/>
          <w:sz w:val="24"/>
          <w:szCs w:val="24"/>
          <w:lang w:val="bg-BG"/>
        </w:rPr>
        <w:t>, идентична</w:t>
      </w:r>
      <w:r w:rsidR="00C50930" w:rsidRPr="00A24E11">
        <w:rPr>
          <w:b/>
          <w:sz w:val="24"/>
          <w:szCs w:val="24"/>
          <w:lang w:val="bg-BG"/>
        </w:rPr>
        <w:t>/и</w:t>
      </w:r>
      <w:r w:rsidRPr="00A24E11">
        <w:rPr>
          <w:b/>
          <w:sz w:val="24"/>
          <w:szCs w:val="24"/>
          <w:lang w:val="bg-BG"/>
        </w:rPr>
        <w:t xml:space="preserve"> или сходна</w:t>
      </w:r>
      <w:r w:rsidR="00C50930" w:rsidRPr="00A24E11">
        <w:rPr>
          <w:b/>
          <w:sz w:val="24"/>
          <w:szCs w:val="24"/>
          <w:lang w:val="bg-BG"/>
        </w:rPr>
        <w:t>/и</w:t>
      </w:r>
      <w:r w:rsidRPr="00A24E11">
        <w:rPr>
          <w:b/>
          <w:sz w:val="24"/>
          <w:szCs w:val="24"/>
          <w:lang w:val="bg-BG"/>
        </w:rPr>
        <w:t xml:space="preserve"> с предмета и обема на поръчката.</w:t>
      </w:r>
      <w:r w:rsidR="00C50930" w:rsidRPr="00A24E11">
        <w:rPr>
          <w:b/>
          <w:sz w:val="24"/>
          <w:szCs w:val="24"/>
          <w:lang w:val="bg-BG"/>
        </w:rPr>
        <w:t xml:space="preserve"> </w:t>
      </w:r>
    </w:p>
    <w:p w:rsidR="00CC32CC" w:rsidRPr="00A24E11" w:rsidRDefault="00CC32CC" w:rsidP="00CC32CC">
      <w:pPr>
        <w:ind w:right="61"/>
        <w:jc w:val="both"/>
        <w:rPr>
          <w:b/>
          <w:sz w:val="24"/>
          <w:szCs w:val="24"/>
          <w:lang w:val="bg-BG"/>
        </w:rPr>
      </w:pPr>
    </w:p>
    <w:p w:rsidR="00CC32CC" w:rsidRPr="00A24E11" w:rsidRDefault="00CC32CC" w:rsidP="00CC32CC">
      <w:pPr>
        <w:ind w:right="61"/>
        <w:jc w:val="both"/>
        <w:rPr>
          <w:b/>
          <w:i/>
          <w:sz w:val="24"/>
          <w:szCs w:val="24"/>
          <w:lang w:val="bg-BG"/>
        </w:rPr>
      </w:pPr>
      <w:r w:rsidRPr="00A24E11">
        <w:rPr>
          <w:b/>
          <w:i/>
          <w:sz w:val="24"/>
          <w:szCs w:val="24"/>
          <w:u w:val="single"/>
          <w:lang w:val="bg-BG"/>
        </w:rPr>
        <w:t>За „доставка</w:t>
      </w:r>
      <w:r w:rsidR="00C50930" w:rsidRPr="00A24E11">
        <w:rPr>
          <w:b/>
          <w:i/>
          <w:sz w:val="24"/>
          <w:szCs w:val="24"/>
          <w:u w:val="single"/>
          <w:lang w:val="bg-BG"/>
        </w:rPr>
        <w:t>/и</w:t>
      </w:r>
      <w:r w:rsidRPr="00A24E11">
        <w:rPr>
          <w:b/>
          <w:i/>
          <w:sz w:val="24"/>
          <w:szCs w:val="24"/>
          <w:u w:val="single"/>
          <w:lang w:val="bg-BG"/>
        </w:rPr>
        <w:t>, сходна</w:t>
      </w:r>
      <w:r w:rsidR="00C50930" w:rsidRPr="00A24E11">
        <w:rPr>
          <w:b/>
          <w:i/>
          <w:sz w:val="24"/>
          <w:szCs w:val="24"/>
          <w:u w:val="single"/>
          <w:lang w:val="bg-BG"/>
        </w:rPr>
        <w:t>/и</w:t>
      </w:r>
      <w:r w:rsidRPr="00A24E11">
        <w:rPr>
          <w:b/>
          <w:i/>
          <w:sz w:val="24"/>
          <w:szCs w:val="24"/>
          <w:u w:val="single"/>
          <w:lang w:val="bg-BG"/>
        </w:rPr>
        <w:t xml:space="preserve"> с предмета и обема на поръчката”, възложителят ще приема доставка</w:t>
      </w:r>
      <w:r w:rsidR="00C50930" w:rsidRPr="00A24E11">
        <w:rPr>
          <w:b/>
          <w:i/>
          <w:sz w:val="24"/>
          <w:szCs w:val="24"/>
          <w:u w:val="single"/>
          <w:lang w:val="bg-BG"/>
        </w:rPr>
        <w:t>/и</w:t>
      </w:r>
      <w:r w:rsidRPr="00A24E11">
        <w:rPr>
          <w:b/>
          <w:i/>
          <w:sz w:val="24"/>
          <w:szCs w:val="24"/>
          <w:u w:val="single"/>
          <w:lang w:val="bg-BG"/>
        </w:rPr>
        <w:t xml:space="preserve"> на минимум две нови </w:t>
      </w:r>
      <w:r w:rsidRPr="00A24E11">
        <w:rPr>
          <w:b/>
          <w:bCs/>
          <w:i/>
          <w:sz w:val="24"/>
          <w:szCs w:val="24"/>
          <w:u w:val="single"/>
          <w:lang w:val="bg-BG"/>
        </w:rPr>
        <w:t>моторни превозни средства</w:t>
      </w:r>
      <w:r w:rsidRPr="00A24E11">
        <w:rPr>
          <w:b/>
          <w:sz w:val="24"/>
          <w:szCs w:val="24"/>
          <w:u w:val="single"/>
          <w:lang w:val="bg-BG"/>
        </w:rPr>
        <w:t xml:space="preserve">, </w:t>
      </w:r>
      <w:r w:rsidRPr="00A24E11">
        <w:rPr>
          <w:b/>
          <w:bCs/>
          <w:i/>
          <w:sz w:val="24"/>
          <w:szCs w:val="24"/>
          <w:u w:val="single"/>
          <w:lang w:val="bg-BG"/>
        </w:rPr>
        <w:t>категория N1.</w:t>
      </w:r>
    </w:p>
    <w:p w:rsidR="00CC32CC" w:rsidRPr="00CC32CC" w:rsidRDefault="00CC32CC" w:rsidP="00CC32CC">
      <w:pPr>
        <w:ind w:right="61"/>
        <w:jc w:val="both"/>
        <w:rPr>
          <w:b/>
          <w:i/>
          <w:sz w:val="24"/>
          <w:szCs w:val="24"/>
        </w:rPr>
      </w:pPr>
    </w:p>
    <w:p w:rsidR="00CC32CC" w:rsidRPr="00CC32CC" w:rsidRDefault="00CC32CC" w:rsidP="00CC32CC">
      <w:pPr>
        <w:ind w:right="61"/>
        <w:jc w:val="both"/>
        <w:rPr>
          <w:b/>
          <w:i/>
          <w:sz w:val="24"/>
          <w:szCs w:val="24"/>
        </w:rPr>
      </w:pPr>
      <w:r w:rsidRPr="00CC32CC">
        <w:rPr>
          <w:b/>
          <w:i/>
          <w:sz w:val="24"/>
          <w:szCs w:val="24"/>
          <w:lang w:val="bg-BG"/>
        </w:rPr>
        <w:t>Минималното изискване се посочва</w:t>
      </w:r>
      <w:r w:rsidRPr="00CC32CC">
        <w:rPr>
          <w:b/>
          <w:i/>
          <w:sz w:val="24"/>
          <w:szCs w:val="24"/>
        </w:rPr>
        <w:t>/</w:t>
      </w:r>
      <w:r w:rsidRPr="00CC32CC">
        <w:rPr>
          <w:b/>
          <w:i/>
          <w:sz w:val="24"/>
          <w:szCs w:val="24"/>
          <w:lang w:val="bg-BG"/>
        </w:rPr>
        <w:t xml:space="preserve">декларира, съгласно Част </w:t>
      </w:r>
      <w:r w:rsidRPr="00CC32CC">
        <w:rPr>
          <w:b/>
          <w:i/>
          <w:sz w:val="24"/>
          <w:szCs w:val="24"/>
        </w:rPr>
        <w:t>IV</w:t>
      </w:r>
      <w:r>
        <w:rPr>
          <w:b/>
          <w:i/>
          <w:sz w:val="24"/>
          <w:szCs w:val="24"/>
          <w:lang w:val="bg-BG"/>
        </w:rPr>
        <w:t>, Раздел В</w:t>
      </w:r>
      <w:r w:rsidRPr="00CC32CC">
        <w:rPr>
          <w:b/>
          <w:i/>
          <w:sz w:val="24"/>
          <w:szCs w:val="24"/>
          <w:lang w:val="bg-BG"/>
        </w:rPr>
        <w:t xml:space="preserve"> от ЕЕДОП; </w:t>
      </w:r>
    </w:p>
    <w:p w:rsidR="00CC32CC" w:rsidRPr="00CC32CC" w:rsidRDefault="00CC32CC" w:rsidP="00CC32CC">
      <w:pPr>
        <w:ind w:right="61"/>
        <w:jc w:val="both"/>
        <w:rPr>
          <w:sz w:val="24"/>
          <w:szCs w:val="24"/>
          <w:lang w:val="x-none"/>
        </w:rPr>
      </w:pPr>
      <w:r w:rsidRPr="00CC32CC">
        <w:rPr>
          <w:b/>
          <w:i/>
          <w:sz w:val="24"/>
          <w:szCs w:val="24"/>
          <w:lang w:val="bg-BG"/>
        </w:rPr>
        <w:lastRenderedPageBreak/>
        <w:t xml:space="preserve">Минималното изискване се доказва при подписване на договора за изпълнение </w:t>
      </w:r>
      <w:r w:rsidRPr="00CC32CC">
        <w:rPr>
          <w:b/>
          <w:sz w:val="24"/>
          <w:szCs w:val="24"/>
          <w:lang w:val="x-none"/>
        </w:rPr>
        <w:t>с</w:t>
      </w:r>
      <w:r w:rsidRPr="00CC32CC">
        <w:rPr>
          <w:b/>
          <w:sz w:val="24"/>
          <w:szCs w:val="24"/>
          <w:lang w:val="bg-BG"/>
        </w:rPr>
        <w:t xml:space="preserve">ъс Списък на доставките, идентични или сходни с предмета на поръчката – </w:t>
      </w:r>
      <w:r w:rsidRPr="00CC32CC">
        <w:rPr>
          <w:b/>
          <w:i/>
          <w:sz w:val="24"/>
          <w:szCs w:val="24"/>
          <w:lang w:val="bg-BG"/>
        </w:rPr>
        <w:t>/</w:t>
      </w:r>
      <w:r w:rsidRPr="00CC32CC">
        <w:rPr>
          <w:b/>
          <w:i/>
          <w:sz w:val="24"/>
          <w:szCs w:val="24"/>
          <w:u w:val="single"/>
          <w:lang w:val="bg-BG"/>
        </w:rPr>
        <w:t xml:space="preserve">Образец № </w:t>
      </w:r>
      <w:r w:rsidRPr="00CC32CC">
        <w:rPr>
          <w:b/>
          <w:i/>
          <w:sz w:val="24"/>
          <w:szCs w:val="24"/>
          <w:u w:val="single"/>
        </w:rPr>
        <w:t>7</w:t>
      </w:r>
      <w:r w:rsidRPr="00CC32CC">
        <w:rPr>
          <w:b/>
          <w:i/>
          <w:sz w:val="24"/>
          <w:szCs w:val="24"/>
          <w:lang w:val="bg-BG"/>
        </w:rPr>
        <w:t>/</w:t>
      </w:r>
      <w:r w:rsidRPr="00CC32CC">
        <w:rPr>
          <w:b/>
          <w:sz w:val="24"/>
          <w:szCs w:val="24"/>
          <w:lang w:val="bg-BG"/>
        </w:rPr>
        <w:t xml:space="preserve">, с посочване на </w:t>
      </w:r>
      <w:r w:rsidRPr="00CC32CC">
        <w:rPr>
          <w:b/>
          <w:sz w:val="24"/>
          <w:szCs w:val="24"/>
          <w:lang w:val="x-none"/>
        </w:rPr>
        <w:t>стойност</w:t>
      </w:r>
      <w:r w:rsidRPr="00CC32CC">
        <w:rPr>
          <w:b/>
          <w:sz w:val="24"/>
          <w:szCs w:val="24"/>
          <w:lang w:val="bg-BG"/>
        </w:rPr>
        <w:t>ите</w:t>
      </w:r>
      <w:r w:rsidRPr="00CC32CC">
        <w:rPr>
          <w:b/>
          <w:sz w:val="24"/>
          <w:szCs w:val="24"/>
          <w:lang w:val="x-none"/>
        </w:rPr>
        <w:t>, дат</w:t>
      </w:r>
      <w:r w:rsidRPr="00CC32CC">
        <w:rPr>
          <w:b/>
          <w:sz w:val="24"/>
          <w:szCs w:val="24"/>
          <w:lang w:val="bg-BG"/>
        </w:rPr>
        <w:t>ите и получателите, заедно с доказателство за извършената доставка.</w:t>
      </w:r>
      <w:r w:rsidRPr="00CC32CC">
        <w:rPr>
          <w:b/>
          <w:i/>
          <w:sz w:val="24"/>
          <w:szCs w:val="24"/>
          <w:lang w:val="bg-BG"/>
        </w:rPr>
        <w:t xml:space="preserve">   </w:t>
      </w:r>
      <w:r w:rsidRPr="00CC32CC">
        <w:rPr>
          <w:rFonts w:eastAsia="Batang"/>
          <w:i/>
          <w:sz w:val="24"/>
          <w:szCs w:val="24"/>
          <w:lang w:val="bg-BG"/>
        </w:rPr>
        <w:t xml:space="preserve">   </w:t>
      </w:r>
    </w:p>
    <w:p w:rsidR="00B32495" w:rsidRPr="00F35699" w:rsidRDefault="00B32495" w:rsidP="00B32495">
      <w:pPr>
        <w:jc w:val="both"/>
        <w:rPr>
          <w:sz w:val="24"/>
          <w:szCs w:val="24"/>
          <w:lang w:val="bg-BG"/>
        </w:rPr>
      </w:pPr>
    </w:p>
    <w:p w:rsidR="00B32495" w:rsidRPr="00CC32CC" w:rsidRDefault="00B32495" w:rsidP="00CC32CC">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Default="00B32495" w:rsidP="00B32495">
      <w:pPr>
        <w:ind w:right="27" w:firstLine="646"/>
        <w:jc w:val="both"/>
        <w:rPr>
          <w:b/>
          <w:sz w:val="24"/>
          <w:szCs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w:t>
      </w:r>
      <w:r w:rsidR="008C1CEA">
        <w:rPr>
          <w:b/>
          <w:sz w:val="24"/>
          <w:szCs w:val="24"/>
          <w:lang w:val="bg-BG" w:eastAsia="bg-BG"/>
        </w:rPr>
        <w:t>ото</w:t>
      </w:r>
      <w:r w:rsidRPr="00F35699">
        <w:rPr>
          <w:b/>
          <w:sz w:val="24"/>
          <w:szCs w:val="24"/>
          <w:lang w:val="bg-BG" w:eastAsia="bg-BG"/>
        </w:rPr>
        <w:t xml:space="preserve"> по-горе минималн</w:t>
      </w:r>
      <w:r w:rsidR="000930EF">
        <w:rPr>
          <w:b/>
          <w:sz w:val="24"/>
          <w:szCs w:val="24"/>
          <w:lang w:val="bg-BG" w:eastAsia="bg-BG"/>
        </w:rPr>
        <w:t>о изискване</w:t>
      </w:r>
      <w:r w:rsidRPr="00F35699">
        <w:rPr>
          <w:b/>
          <w:sz w:val="24"/>
          <w:szCs w:val="24"/>
          <w:lang w:val="bg-BG" w:eastAsia="bg-BG"/>
        </w:rPr>
        <w:t xml:space="preserve">,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w:t>
      </w:r>
    </w:p>
    <w:p w:rsidR="00B32495" w:rsidRPr="005F3102" w:rsidRDefault="00B32495" w:rsidP="00B32495">
      <w:pPr>
        <w:ind w:right="27" w:firstLine="646"/>
        <w:jc w:val="both"/>
        <w:rPr>
          <w:sz w:val="24"/>
          <w:szCs w:val="24"/>
          <w:u w:val="single"/>
          <w:lang w:val="bg-BG"/>
        </w:rPr>
      </w:pPr>
    </w:p>
    <w:p w:rsidR="005F3102" w:rsidRPr="00CC32CC" w:rsidRDefault="005F3102" w:rsidP="00CC32CC">
      <w:pPr>
        <w:ind w:right="27" w:firstLine="627"/>
        <w:jc w:val="both"/>
        <w:rPr>
          <w:sz w:val="24"/>
          <w:szCs w:val="24"/>
          <w:lang w:val="bg-BG"/>
        </w:rPr>
      </w:pPr>
      <w:r w:rsidRPr="005F3102">
        <w:rPr>
          <w:sz w:val="24"/>
          <w:szCs w:val="24"/>
          <w:lang w:val="bg-BG"/>
        </w:rPr>
        <w:t>Участникът ще бъде отстранен от участие в настоящата обществена поръчка, ако не отговаря на изис</w:t>
      </w:r>
      <w:r w:rsidR="00B32495">
        <w:rPr>
          <w:sz w:val="24"/>
          <w:szCs w:val="24"/>
          <w:lang w:val="bg-BG"/>
        </w:rPr>
        <w:t>кван</w:t>
      </w:r>
      <w:r w:rsidR="008C1CEA">
        <w:rPr>
          <w:sz w:val="24"/>
          <w:szCs w:val="24"/>
          <w:lang w:val="bg-BG"/>
        </w:rPr>
        <w:t>ето, посочено</w:t>
      </w:r>
      <w:r w:rsidR="00B32495">
        <w:rPr>
          <w:sz w:val="24"/>
          <w:szCs w:val="24"/>
          <w:lang w:val="bg-BG"/>
        </w:rPr>
        <w:t xml:space="preserve"> в т. 3</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 xml:space="preserve">   У</w:t>
      </w:r>
      <w:r w:rsidRPr="005F3102">
        <w:rPr>
          <w:sz w:val="24"/>
          <w:szCs w:val="24"/>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техническите </w:t>
      </w:r>
      <w:r w:rsidRPr="005F3102">
        <w:rPr>
          <w:sz w:val="24"/>
          <w:szCs w:val="24"/>
          <w:lang w:val="bg-BG"/>
        </w:rPr>
        <w:t xml:space="preserve">и професионалните </w:t>
      </w:r>
      <w:r w:rsidRPr="005F3102">
        <w:rPr>
          <w:sz w:val="24"/>
          <w:szCs w:val="24"/>
          <w:lang w:val="x-none"/>
        </w:rPr>
        <w:t>способности</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F3102">
        <w:rPr>
          <w:sz w:val="24"/>
          <w:szCs w:val="24"/>
          <w:lang w:val="bg-BG"/>
        </w:rPr>
        <w:t>, в противен случай в</w:t>
      </w:r>
      <w:r w:rsidRPr="005F3102">
        <w:rPr>
          <w:sz w:val="24"/>
          <w:szCs w:val="24"/>
          <w:lang w:val="x-none"/>
        </w:rPr>
        <w:t>ъзложителят изисква от участника да замени посоченото от него трето лице</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CC32CC" w:rsidRDefault="005F3102" w:rsidP="00CC32CC">
      <w:pPr>
        <w:widowControl w:val="0"/>
        <w:autoSpaceDE w:val="0"/>
        <w:autoSpaceDN w:val="0"/>
        <w:adjustRightInd w:val="0"/>
        <w:ind w:firstLine="480"/>
        <w:jc w:val="both"/>
        <w:rPr>
          <w:sz w:val="24"/>
          <w:szCs w:val="24"/>
          <w:lang w:val="bg-BG"/>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CC32CC">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CC32CC" w:rsidRDefault="005F3102" w:rsidP="00CC32CC">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CC32CC" w:rsidRPr="00CC32CC" w:rsidRDefault="00CC32CC" w:rsidP="00CC32CC">
      <w:pPr>
        <w:shd w:val="clear" w:color="auto" w:fill="92D050"/>
        <w:ind w:right="27"/>
        <w:jc w:val="both"/>
        <w:rPr>
          <w:b/>
          <w:sz w:val="24"/>
          <w:szCs w:val="24"/>
          <w:lang w:val="bg-BG"/>
        </w:rPr>
      </w:pPr>
      <w:r w:rsidRPr="00CC32CC">
        <w:rPr>
          <w:b/>
          <w:sz w:val="24"/>
          <w:szCs w:val="24"/>
          <w:lang w:val="bg-BG"/>
        </w:rPr>
        <w:t>Офертата, систематизирана съобразно посочените по-долу изисквания, съдържа, както следва:</w:t>
      </w:r>
    </w:p>
    <w:p w:rsidR="00CC32CC" w:rsidRPr="00CC32CC" w:rsidRDefault="00CC32CC" w:rsidP="00CC32CC">
      <w:pPr>
        <w:shd w:val="clear" w:color="auto" w:fill="92D050"/>
        <w:ind w:right="27" w:firstLine="708"/>
        <w:jc w:val="both"/>
        <w:rPr>
          <w:b/>
          <w:i/>
          <w:sz w:val="24"/>
          <w:szCs w:val="24"/>
          <w:lang w:val="bg-BG"/>
        </w:rPr>
      </w:pPr>
      <w:r w:rsidRPr="00CC32CC">
        <w:rPr>
          <w:b/>
          <w:i/>
          <w:sz w:val="24"/>
          <w:szCs w:val="24"/>
          <w:lang w:val="bg-BG"/>
        </w:rPr>
        <w:t>Опис на представените документи</w:t>
      </w:r>
    </w:p>
    <w:p w:rsidR="00CC32CC" w:rsidRPr="00CC32CC" w:rsidRDefault="00CC32CC" w:rsidP="00CC32CC">
      <w:pPr>
        <w:shd w:val="clear" w:color="auto" w:fill="92D050"/>
        <w:tabs>
          <w:tab w:val="left" w:pos="720"/>
        </w:tabs>
        <w:ind w:right="27"/>
        <w:jc w:val="both"/>
        <w:rPr>
          <w:b/>
          <w:i/>
          <w:sz w:val="24"/>
          <w:szCs w:val="24"/>
          <w:lang w:val="bg-BG"/>
        </w:rPr>
      </w:pPr>
      <w:r w:rsidRPr="00CC32CC">
        <w:rPr>
          <w:b/>
          <w:i/>
          <w:sz w:val="24"/>
          <w:szCs w:val="24"/>
          <w:lang w:val="bg-BG"/>
        </w:rPr>
        <w:tab/>
        <w:t>Заявление за участие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2 от ППЗОП</w:t>
      </w:r>
    </w:p>
    <w:p w:rsidR="00CC32CC" w:rsidRPr="00CC32CC" w:rsidRDefault="00CC32CC" w:rsidP="00CC32CC">
      <w:pPr>
        <w:shd w:val="clear" w:color="auto" w:fill="92D050"/>
        <w:tabs>
          <w:tab w:val="left" w:pos="720"/>
        </w:tabs>
        <w:ind w:right="27"/>
        <w:jc w:val="both"/>
        <w:rPr>
          <w:b/>
          <w:i/>
          <w:sz w:val="24"/>
          <w:szCs w:val="24"/>
          <w:u w:val="single"/>
          <w:lang w:val="bg-BG"/>
        </w:rPr>
      </w:pPr>
      <w:r w:rsidRPr="00CC32CC">
        <w:rPr>
          <w:b/>
          <w:i/>
          <w:sz w:val="24"/>
          <w:szCs w:val="24"/>
          <w:lang w:val="bg-BG"/>
        </w:rPr>
        <w:t xml:space="preserve"> </w:t>
      </w:r>
      <w:r w:rsidRPr="00CC32CC">
        <w:rPr>
          <w:b/>
          <w:i/>
          <w:sz w:val="24"/>
          <w:szCs w:val="24"/>
          <w:lang w:val="bg-BG"/>
        </w:rPr>
        <w:tab/>
        <w:t>Техническо предложение по чл.</w:t>
      </w:r>
      <w:r w:rsidR="00721803">
        <w:rPr>
          <w:b/>
          <w:i/>
          <w:sz w:val="24"/>
          <w:szCs w:val="24"/>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1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i/>
          <w:sz w:val="24"/>
          <w:szCs w:val="24"/>
          <w:lang w:val="bg-BG"/>
        </w:rPr>
        <w:tab/>
        <w:t>Запечатан и непрозрачен Плик с надпис „Предлагани ценови параметри”, съдържащ Ценовото предложение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2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по чл. 39, ал. 2 от ППЗОП /заявление за участие/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Всички документи по чл. 39, ал. 3, т. 1 от</w:t>
      </w:r>
      <w:r w:rsidRPr="00CC32CC">
        <w:rPr>
          <w:b/>
          <w:i/>
          <w:sz w:val="24"/>
          <w:szCs w:val="24"/>
          <w:lang w:val="bg-BG"/>
        </w:rPr>
        <w:t xml:space="preserve"> </w:t>
      </w:r>
      <w:r w:rsidRPr="00CC32CC">
        <w:rPr>
          <w:b/>
          <w:sz w:val="24"/>
          <w:szCs w:val="24"/>
          <w:lang w:val="bg-BG"/>
        </w:rPr>
        <w:t xml:space="preserve">ППЗОП /Техническо предложение/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от Заявлението за участие и Техническото предложение, както и </w:t>
      </w:r>
      <w:r w:rsidRPr="00CC32CC">
        <w:rPr>
          <w:b/>
          <w:i/>
          <w:sz w:val="24"/>
          <w:szCs w:val="24"/>
          <w:lang w:val="bg-BG"/>
        </w:rPr>
        <w:t xml:space="preserve">Пликът </w:t>
      </w:r>
      <w:r w:rsidRPr="00CC32CC">
        <w:rPr>
          <w:b/>
          <w:sz w:val="24"/>
          <w:szCs w:val="24"/>
          <w:lang w:val="bg-BG"/>
        </w:rPr>
        <w:t xml:space="preserve">с надпис </w:t>
      </w:r>
      <w:r w:rsidRPr="00CC32CC">
        <w:rPr>
          <w:b/>
          <w:i/>
          <w:sz w:val="24"/>
          <w:szCs w:val="24"/>
          <w:lang w:val="bg-BG"/>
        </w:rPr>
        <w:t>„Предлагани ценови параметри</w:t>
      </w:r>
      <w:r w:rsidRPr="00CC32CC">
        <w:rPr>
          <w:b/>
          <w:sz w:val="24"/>
          <w:szCs w:val="24"/>
          <w:lang w:val="bg-BG"/>
        </w:rPr>
        <w:t>”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5F3102" w:rsidRDefault="005F3102" w:rsidP="00CC32CC">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B64B46" w:rsidRDefault="000930EF" w:rsidP="005F3102">
            <w:pPr>
              <w:spacing w:after="60"/>
              <w:ind w:right="27"/>
              <w:outlineLvl w:val="0"/>
              <w:rPr>
                <w:bCs/>
                <w:sz w:val="24"/>
                <w:szCs w:val="24"/>
                <w:lang w:val="bg-BG"/>
              </w:rPr>
            </w:pPr>
            <w:r>
              <w:rPr>
                <w:b/>
                <w:bCs/>
                <w:sz w:val="24"/>
                <w:szCs w:val="24"/>
                <w:lang w:val="bg-BG"/>
              </w:rPr>
              <w:t>“Доставка на 2 бр. нови товар</w:t>
            </w:r>
            <w:r w:rsidR="00CC32CC" w:rsidRPr="00CC32CC">
              <w:rPr>
                <w:b/>
                <w:bCs/>
                <w:sz w:val="24"/>
                <w:szCs w:val="24"/>
                <w:lang w:val="bg-BG"/>
              </w:rPr>
              <w:t>ни буса до 3,5 т. за нуждите на ОП „Благоустрояване”</w:t>
            </w: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rPr>
        <w:t>.</w:t>
      </w:r>
    </w:p>
    <w:p w:rsidR="005F3102" w:rsidRPr="005F3102" w:rsidRDefault="005F3102" w:rsidP="005F3102">
      <w:pPr>
        <w:ind w:right="-39"/>
        <w:jc w:val="both"/>
        <w:rPr>
          <w:sz w:val="24"/>
          <w:szCs w:val="24"/>
          <w:lang w:val="bg-BG" w:eastAsia="bg-BG"/>
        </w:rPr>
      </w:pPr>
      <w:r w:rsidRPr="005F3102">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9" w:name="_Ref78305392"/>
      <w:bookmarkStart w:id="10" w:name="_Ref87534337"/>
      <w:bookmarkStart w:id="11"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2"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2"/>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10"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3560A7" w:rsidRDefault="003560A7" w:rsidP="003560A7">
      <w:pPr>
        <w:ind w:right="1"/>
        <w:jc w:val="both"/>
        <w:rPr>
          <w:i/>
          <w:iCs/>
          <w:sz w:val="24"/>
          <w:szCs w:val="24"/>
          <w:lang w:val="bg-BG" w:eastAsia="bg-BG"/>
        </w:rPr>
      </w:pPr>
      <w:r w:rsidRPr="003560A7">
        <w:rPr>
          <w:sz w:val="24"/>
          <w:szCs w:val="24"/>
          <w:lang w:val="bg-BG" w:eastAsia="bg-BG"/>
        </w:rPr>
        <w:t xml:space="preserve">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w:t>
      </w:r>
      <w:r w:rsidRPr="003560A7">
        <w:rPr>
          <w:sz w:val="24"/>
          <w:szCs w:val="24"/>
          <w:lang w:val="bg-BG" w:eastAsia="bg-BG"/>
        </w:rPr>
        <w:lastRenderedPageBreak/>
        <w:t>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11"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 xml:space="preserve">2.3.   </w:t>
      </w:r>
      <w:r w:rsidRPr="005F3102">
        <w:rPr>
          <w:bCs/>
          <w:sz w:val="24"/>
          <w:szCs w:val="24"/>
          <w:u w:val="single"/>
          <w:lang w:val="bg-BG"/>
        </w:rPr>
        <w:t>Оферта:</w:t>
      </w:r>
    </w:p>
    <w:bookmarkEnd w:id="9"/>
    <w:bookmarkEnd w:id="10"/>
    <w:bookmarkEnd w:id="11"/>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sidRPr="003560A7">
        <w:rPr>
          <w:b/>
          <w:sz w:val="24"/>
          <w:szCs w:val="24"/>
          <w:lang w:val="bg-BG"/>
        </w:rPr>
        <w:t xml:space="preserve">; </w:t>
      </w:r>
      <w:r w:rsidRPr="003560A7">
        <w:rPr>
          <w:b/>
          <w:sz w:val="24"/>
          <w:szCs w:val="24"/>
          <w:lang w:val="bg-BG" w:eastAsia="bg-BG"/>
        </w:rPr>
        <w:t xml:space="preserve">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3" w:name="_Ref90222808"/>
      <w:r w:rsidRPr="003560A7">
        <w:rPr>
          <w:sz w:val="24"/>
          <w:szCs w:val="24"/>
          <w:lang w:val="bg-BG"/>
        </w:rPr>
        <w:t xml:space="preserve">Възложителят не приема представянето на варианти на офертите. </w:t>
      </w:r>
    </w:p>
    <w:bookmarkEnd w:id="13"/>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12"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5F3102" w:rsidP="005F3102">
      <w:pPr>
        <w:jc w:val="both"/>
        <w:rPr>
          <w:sz w:val="24"/>
          <w:szCs w:val="24"/>
          <w:lang w:val="bg-BG"/>
        </w:rPr>
      </w:pPr>
      <w:r w:rsidRPr="005F3102">
        <w:rPr>
          <w:sz w:val="24"/>
          <w:szCs w:val="24"/>
          <w:lang w:val="bg-BG"/>
        </w:rPr>
        <w:t xml:space="preserve"> </w:t>
      </w:r>
    </w:p>
    <w:p w:rsidR="005F3102" w:rsidRPr="005F3102" w:rsidRDefault="001621A7" w:rsidP="005F3102">
      <w:pPr>
        <w:ind w:right="96"/>
        <w:rPr>
          <w:b/>
          <w:sz w:val="24"/>
          <w:szCs w:val="24"/>
          <w:lang w:val="bg-BG"/>
        </w:rPr>
      </w:pPr>
      <w:r>
        <w:rPr>
          <w:b/>
          <w:sz w:val="24"/>
          <w:szCs w:val="24"/>
          <w:lang w:val="bg-BG"/>
        </w:rPr>
        <w:lastRenderedPageBreak/>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w:t>
      </w:r>
      <w:r w:rsidRPr="005F3102">
        <w:rPr>
          <w:sz w:val="24"/>
          <w:szCs w:val="24"/>
          <w:lang w:val="bg-BG"/>
        </w:rPr>
        <w:t>е в размер на 5</w:t>
      </w:r>
      <w:r w:rsidRPr="005F3102">
        <w:rPr>
          <w:sz w:val="24"/>
          <w:szCs w:val="24"/>
          <w:lang w:val="x-none"/>
        </w:rPr>
        <w:t xml:space="preserve"> на сто от стойността </w:t>
      </w:r>
      <w:r w:rsidRPr="005F3102">
        <w:rPr>
          <w:sz w:val="24"/>
          <w:szCs w:val="24"/>
          <w:lang w:val="x-none" w:eastAsia="bg-BG"/>
        </w:rPr>
        <w:t>му</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r w:rsidRPr="005F3102">
        <w:rPr>
          <w:sz w:val="24"/>
          <w:szCs w:val="24"/>
          <w:lang w:val="x-none"/>
        </w:rPr>
        <w:t xml:space="preserve">аранцията по т. 1 или 2 може да се предостави от името на изпълнителя за сметка на </w:t>
      </w:r>
      <w:r w:rsidRPr="005F3102">
        <w:rPr>
          <w:sz w:val="24"/>
          <w:szCs w:val="24"/>
          <w:lang w:val="x-none"/>
        </w:rPr>
        <w:lastRenderedPageBreak/>
        <w:t>трето лице – гарант.</w:t>
      </w:r>
    </w:p>
    <w:p w:rsidR="000930EF" w:rsidRPr="000930EF" w:rsidRDefault="000930EF" w:rsidP="00164033">
      <w:pPr>
        <w:widowControl w:val="0"/>
        <w:autoSpaceDE w:val="0"/>
        <w:autoSpaceDN w:val="0"/>
        <w:adjustRightInd w:val="0"/>
        <w:ind w:firstLine="480"/>
        <w:jc w:val="both"/>
        <w:rPr>
          <w:sz w:val="24"/>
          <w:szCs w:val="24"/>
          <w:lang w:val="x-none"/>
        </w:rPr>
      </w:pPr>
      <w:bookmarkStart w:id="14" w:name="_GoBack"/>
      <w:bookmarkEnd w:id="14"/>
      <w:r w:rsidRPr="000930EF">
        <w:rPr>
          <w:sz w:val="24"/>
          <w:szCs w:val="24"/>
          <w:lang w:val="x-none"/>
        </w:rPr>
        <w:t>Участникът, определен за изпълнител, избира сам формата на гаранцията за изпълнение или за авансово предоставените средства.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5F3102" w:rsidRDefault="005F3102" w:rsidP="005F3102">
      <w:pPr>
        <w:ind w:right="138" w:firstLine="567"/>
        <w:jc w:val="both"/>
        <w:rPr>
          <w:rFonts w:eastAsia="Lucida Sans Unicode"/>
          <w:sz w:val="24"/>
          <w:szCs w:val="24"/>
          <w:lang w:val="bg-BG"/>
        </w:rPr>
      </w:pPr>
      <w:r w:rsidRPr="005F3102">
        <w:rPr>
          <w:sz w:val="24"/>
          <w:szCs w:val="24"/>
          <w:lang w:val="bg-BG"/>
        </w:rPr>
        <w:t xml:space="preserve">Банкова сметка (IBAN): </w:t>
      </w:r>
      <w:r w:rsidRPr="005F3102">
        <w:rPr>
          <w:b/>
          <w:sz w:val="24"/>
          <w:szCs w:val="24"/>
          <w:lang w:val="bg-BG"/>
        </w:rPr>
        <w:t>BG 52 STSA 9300 3305 016 910</w:t>
      </w:r>
    </w:p>
    <w:p w:rsidR="005F3102" w:rsidRPr="005F3102" w:rsidRDefault="005F3102" w:rsidP="005F3102">
      <w:pPr>
        <w:ind w:right="138" w:firstLine="567"/>
        <w:jc w:val="both"/>
        <w:rPr>
          <w:sz w:val="24"/>
          <w:szCs w:val="24"/>
          <w:lang w:val="bg-BG"/>
        </w:rPr>
      </w:pPr>
      <w:r w:rsidRPr="005F3102">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Pr="005F3102">
        <w:rPr>
          <w:b/>
          <w:sz w:val="24"/>
          <w:szCs w:val="24"/>
          <w:lang w:val="bg-BG"/>
        </w:rPr>
        <w:t>най – малко 30 дни</w:t>
      </w:r>
      <w:r w:rsidRPr="005F3102">
        <w:rPr>
          <w:sz w:val="24"/>
          <w:szCs w:val="24"/>
          <w:lang w:val="bg-BG"/>
        </w:rPr>
        <w:t xml:space="preserve"> от датата на приключване на договора.  Същата трябва да бъде открита в съответствие с условията по приложения в документацията </w:t>
      </w:r>
      <w:r w:rsidRPr="003F17CE">
        <w:rPr>
          <w:b/>
          <w:i/>
          <w:color w:val="000000"/>
          <w:sz w:val="24"/>
          <w:szCs w:val="24"/>
          <w:lang w:val="bg-BG"/>
        </w:rPr>
        <w:t>Образец №</w:t>
      </w:r>
      <w:r w:rsidRPr="003F17CE">
        <w:rPr>
          <w:b/>
          <w:i/>
          <w:color w:val="000000"/>
          <w:sz w:val="24"/>
          <w:szCs w:val="24"/>
          <w:lang w:val="ru-RU"/>
        </w:rPr>
        <w:t xml:space="preserve"> </w:t>
      </w:r>
      <w:r w:rsidR="003F17CE">
        <w:rPr>
          <w:b/>
          <w:i/>
          <w:color w:val="000000"/>
          <w:sz w:val="24"/>
          <w:szCs w:val="24"/>
        </w:rPr>
        <w:t>8</w:t>
      </w:r>
      <w:r w:rsidRPr="005F3102">
        <w:rPr>
          <w:b/>
          <w:i/>
          <w:sz w:val="24"/>
          <w:szCs w:val="24"/>
          <w:lang w:val="ru-RU"/>
        </w:rPr>
        <w:t xml:space="preserve"> </w:t>
      </w:r>
      <w:r w:rsidRPr="005F3102">
        <w:rPr>
          <w:sz w:val="24"/>
          <w:szCs w:val="24"/>
          <w:lang w:val="bg-BG"/>
        </w:rPr>
        <w:t>на банкова гаранция за изпълнение на договора.</w:t>
      </w:r>
    </w:p>
    <w:p w:rsidR="005F3102" w:rsidRPr="005F3102" w:rsidRDefault="005F3102" w:rsidP="005F3102">
      <w:pPr>
        <w:ind w:right="138" w:firstLine="567"/>
        <w:jc w:val="both"/>
        <w:rPr>
          <w:sz w:val="24"/>
          <w:szCs w:val="24"/>
          <w:lang w:val="bg-BG"/>
        </w:rPr>
      </w:pPr>
      <w:r w:rsidRPr="005F3102">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5F3102" w:rsidRDefault="005F3102" w:rsidP="005F3102">
      <w:pPr>
        <w:autoSpaceDE w:val="0"/>
        <w:autoSpaceDN w:val="0"/>
        <w:adjustRightInd w:val="0"/>
        <w:jc w:val="both"/>
        <w:rPr>
          <w:sz w:val="24"/>
          <w:szCs w:val="24"/>
          <w:lang w:eastAsia="bg-BG"/>
        </w:rPr>
      </w:pPr>
      <w:r w:rsidRPr="005F3102">
        <w:rPr>
          <w:i/>
          <w:sz w:val="24"/>
          <w:szCs w:val="24"/>
          <w:lang w:val="bg-BG"/>
        </w:rPr>
        <w:t xml:space="preserve">         </w:t>
      </w:r>
      <w:r w:rsidRPr="005F3102">
        <w:rPr>
          <w:b/>
          <w:sz w:val="24"/>
          <w:szCs w:val="24"/>
          <w:lang w:val="bg-BG" w:eastAsia="bg-BG"/>
        </w:rPr>
        <w:t>Застраховката</w:t>
      </w:r>
      <w:r w:rsidRPr="005F3102">
        <w:rPr>
          <w:sz w:val="24"/>
          <w:szCs w:val="24"/>
          <w:lang w:val="bg-BG" w:eastAsia="bg-BG"/>
        </w:rPr>
        <w:t xml:space="preserve">, която обезпечава изпълнението, чрез покритие на отговорността на </w:t>
      </w:r>
      <w:r w:rsidRPr="005F3102">
        <w:rPr>
          <w:rFonts w:eastAsia="Batang"/>
          <w:b/>
          <w:sz w:val="24"/>
          <w:szCs w:val="24"/>
          <w:lang w:val="bg-BG"/>
        </w:rPr>
        <w:t>ИЗПЪЛНИТЕЛЯ</w:t>
      </w:r>
      <w:r w:rsidRPr="005F3102">
        <w:rPr>
          <w:sz w:val="24"/>
          <w:szCs w:val="24"/>
          <w:lang w:val="bg-BG" w:eastAsia="bg-BG"/>
        </w:rPr>
        <w:t xml:space="preserve">, е със срок на валидност, </w:t>
      </w:r>
      <w:r w:rsidRPr="005F3102">
        <w:rPr>
          <w:sz w:val="24"/>
          <w:szCs w:val="24"/>
          <w:lang w:val="bg-BG"/>
        </w:rPr>
        <w:t xml:space="preserve">със срок на валидност до </w:t>
      </w:r>
      <w:r w:rsidRPr="005F3102">
        <w:rPr>
          <w:b/>
          <w:sz w:val="24"/>
          <w:szCs w:val="24"/>
          <w:lang w:val="bg-BG"/>
        </w:rPr>
        <w:t>най – малко 30 дни</w:t>
      </w:r>
      <w:r w:rsidRPr="005F3102">
        <w:rPr>
          <w:sz w:val="24"/>
          <w:szCs w:val="24"/>
          <w:lang w:val="bg-BG"/>
        </w:rPr>
        <w:t xml:space="preserve"> от датата на приключване на договора за изпълнение. </w:t>
      </w:r>
      <w:r w:rsidRPr="005F3102">
        <w:rPr>
          <w:sz w:val="24"/>
          <w:szCs w:val="24"/>
          <w:lang w:val="bg-BG" w:eastAsia="bg-BG"/>
        </w:rPr>
        <w:t xml:space="preserve"> Възложителят следва да бъде посочен като трето ползващо се лице по тази застраховка. </w:t>
      </w:r>
    </w:p>
    <w:p w:rsidR="005F3102" w:rsidRPr="005F3102" w:rsidRDefault="005F3102" w:rsidP="005F3102">
      <w:pPr>
        <w:autoSpaceDE w:val="0"/>
        <w:autoSpaceDN w:val="0"/>
        <w:adjustRightInd w:val="0"/>
        <w:jc w:val="both"/>
        <w:rPr>
          <w:sz w:val="24"/>
          <w:szCs w:val="24"/>
          <w:lang w:eastAsia="bg-BG"/>
        </w:rPr>
      </w:pPr>
      <w:r w:rsidRPr="005F3102">
        <w:rPr>
          <w:sz w:val="24"/>
          <w:szCs w:val="24"/>
          <w:lang w:val="bg-BG" w:eastAsia="bg-BG"/>
        </w:rPr>
        <w:t xml:space="preserve">Застраховката следва да покрива отговорността на </w:t>
      </w:r>
      <w:r w:rsidRPr="005F3102">
        <w:rPr>
          <w:rFonts w:eastAsia="Batang"/>
          <w:b/>
          <w:sz w:val="24"/>
          <w:szCs w:val="24"/>
          <w:lang w:val="bg-BG"/>
        </w:rPr>
        <w:t>ИЗПЪЛНИТЕЛЯ</w:t>
      </w:r>
      <w:r w:rsidRPr="005F3102">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5F3102">
        <w:rPr>
          <w:rFonts w:eastAsia="Batang"/>
          <w:b/>
          <w:sz w:val="24"/>
          <w:szCs w:val="24"/>
          <w:lang w:val="bg-BG"/>
        </w:rPr>
        <w:t>ИЗПЪЛНИТЕЛЯ</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 а когато е приложимо –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w:t>
      </w:r>
      <w:r w:rsidRPr="005F3102">
        <w:rPr>
          <w:sz w:val="24"/>
          <w:szCs w:val="24"/>
          <w:lang w:val="bg-BG" w:eastAsia="bg-BG"/>
        </w:rPr>
        <w:lastRenderedPageBreak/>
        <w:t>подизпълнителят или третото лице не отговарят на условията на възложителя, когато това не води до промяна на техническото предложение.</w:t>
      </w:r>
    </w:p>
    <w:p w:rsidR="005F3102" w:rsidRPr="005F3102" w:rsidRDefault="005F3102" w:rsidP="005F3102">
      <w:pPr>
        <w:ind w:right="1"/>
        <w:jc w:val="both"/>
        <w:rPr>
          <w:sz w:val="24"/>
          <w:szCs w:val="24"/>
          <w:lang w:val="bg-BG" w:eastAsia="bg-BG"/>
        </w:rPr>
      </w:pPr>
      <w:r w:rsidRPr="005F3102">
        <w:rPr>
          <w:sz w:val="24"/>
          <w:szCs w:val="24"/>
          <w:lang w:val="bg-BG" w:eastAsia="bg-BG"/>
        </w:rPr>
        <w:tab/>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2 от ППЗОП.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„оптимално съотношение качество/цена”</w:t>
      </w:r>
      <w:r w:rsidRPr="005F3102">
        <w:rPr>
          <w:sz w:val="24"/>
          <w:szCs w:val="24"/>
          <w:lang w:val="bg-BG"/>
        </w:rPr>
        <w:t>, съгласно методиката за оценка, нер</w:t>
      </w:r>
      <w:r w:rsidR="001621A7">
        <w:rPr>
          <w:sz w:val="24"/>
          <w:szCs w:val="24"/>
          <w:lang w:val="bg-BG"/>
        </w:rPr>
        <w:t>азделна част от документацията.</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lastRenderedPageBreak/>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13"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5F3102" w:rsidRPr="005F3102" w:rsidRDefault="005F3102" w:rsidP="005F3102">
      <w:pPr>
        <w:tabs>
          <w:tab w:val="left" w:pos="-1701"/>
        </w:tabs>
        <w:ind w:right="136"/>
        <w:jc w:val="center"/>
        <w:rPr>
          <w:sz w:val="24"/>
          <w:szCs w:val="24"/>
          <w:lang w:val="bg-BG"/>
        </w:rPr>
      </w:pPr>
      <w:r w:rsidRPr="005F3102">
        <w:rPr>
          <w:rFonts w:eastAsia="Calibri"/>
          <w:color w:val="000000"/>
          <w:sz w:val="24"/>
          <w:szCs w:val="24"/>
          <w:lang w:val="bg-BG"/>
        </w:rPr>
        <w:t>Телефон: 02 8119 443</w:t>
      </w:r>
    </w:p>
    <w:p w:rsidR="00867F56" w:rsidRPr="00F35699" w:rsidRDefault="00867F56" w:rsidP="005F3102">
      <w:pPr>
        <w:overflowPunct w:val="0"/>
        <w:spacing w:line="200" w:lineRule="atLeast"/>
        <w:ind w:right="20"/>
        <w:jc w:val="center"/>
        <w:rPr>
          <w:rFonts w:eastAsia="Calibri"/>
          <w:color w:val="000000"/>
          <w:sz w:val="24"/>
          <w:szCs w:val="24"/>
          <w:lang w:val="bg-BG"/>
        </w:rPr>
      </w:pPr>
    </w:p>
    <w:sectPr w:rsidR="00867F56" w:rsidRPr="00F35699" w:rsidSect="000C43F1">
      <w:headerReference w:type="default" r:id="rId14"/>
      <w:footerReference w:type="even" r:id="rId15"/>
      <w:footerReference w:type="default" r:id="rId16"/>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4A9" w:rsidRDefault="00AA44A9">
      <w:r>
        <w:separator/>
      </w:r>
    </w:p>
  </w:endnote>
  <w:endnote w:type="continuationSeparator" w:id="0">
    <w:p w:rsidR="00AA44A9" w:rsidRDefault="00AA4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09" w:rsidRDefault="00D57C0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7C09" w:rsidRDefault="00D57C09"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09" w:rsidRDefault="00D57C0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4033">
      <w:rPr>
        <w:rStyle w:val="PageNumber"/>
        <w:noProof/>
      </w:rPr>
      <w:t>14</w:t>
    </w:r>
    <w:r>
      <w:rPr>
        <w:rStyle w:val="PageNumber"/>
      </w:rPr>
      <w:fldChar w:fldCharType="end"/>
    </w:r>
  </w:p>
  <w:p w:rsidR="00D57C09" w:rsidRPr="00720F9F" w:rsidRDefault="00D57C09"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4A9" w:rsidRDefault="00AA44A9">
      <w:r>
        <w:separator/>
      </w:r>
    </w:p>
  </w:footnote>
  <w:footnote w:type="continuationSeparator" w:id="0">
    <w:p w:rsidR="00AA44A9" w:rsidRDefault="00AA4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09" w:rsidRPr="00014561" w:rsidRDefault="00D57C09" w:rsidP="006555E1">
    <w:pPr>
      <w:rPr>
        <w:sz w:val="24"/>
        <w:szCs w:val="24"/>
        <w:lang w:eastAsia="bg-BG"/>
      </w:rPr>
    </w:pPr>
    <w:r w:rsidRPr="00014561">
      <w:rPr>
        <w:sz w:val="24"/>
        <w:szCs w:val="24"/>
        <w:lang w:val="bg-BG" w:eastAsia="bg-BG"/>
      </w:rPr>
      <w:tab/>
    </w:r>
  </w:p>
  <w:p w:rsidR="00D57C09" w:rsidRDefault="00D57C09"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8">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3"/>
  </w:num>
  <w:num w:numId="4">
    <w:abstractNumId w:val="10"/>
  </w:num>
  <w:num w:numId="5">
    <w:abstractNumId w:val="11"/>
  </w:num>
  <w:num w:numId="6">
    <w:abstractNumId w:val="8"/>
  </w:num>
  <w:num w:numId="7">
    <w:abstractNumId w:val="0"/>
  </w:num>
  <w:num w:numId="8">
    <w:abstractNumId w:val="5"/>
  </w:num>
  <w:num w:numId="9">
    <w:abstractNumId w:val="1"/>
  </w:num>
  <w:num w:numId="10">
    <w:abstractNumId w:val="7"/>
  </w:num>
  <w:num w:numId="11">
    <w:abstractNumId w:val="2"/>
  </w:num>
  <w:num w:numId="1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8264A"/>
    <w:rsid w:val="00082CDC"/>
    <w:rsid w:val="00083604"/>
    <w:rsid w:val="0008366F"/>
    <w:rsid w:val="000837E3"/>
    <w:rsid w:val="00085F5E"/>
    <w:rsid w:val="0009271C"/>
    <w:rsid w:val="000930EF"/>
    <w:rsid w:val="0009314F"/>
    <w:rsid w:val="0009318A"/>
    <w:rsid w:val="0009601A"/>
    <w:rsid w:val="000C32A9"/>
    <w:rsid w:val="000C43F1"/>
    <w:rsid w:val="000C5EB0"/>
    <w:rsid w:val="000C7EA6"/>
    <w:rsid w:val="000E4BB5"/>
    <w:rsid w:val="000F1BE6"/>
    <w:rsid w:val="00100407"/>
    <w:rsid w:val="00114B8C"/>
    <w:rsid w:val="00123A84"/>
    <w:rsid w:val="00124BAE"/>
    <w:rsid w:val="0013044F"/>
    <w:rsid w:val="00130D44"/>
    <w:rsid w:val="00132257"/>
    <w:rsid w:val="00133EEE"/>
    <w:rsid w:val="001360DB"/>
    <w:rsid w:val="0014490E"/>
    <w:rsid w:val="00161D1E"/>
    <w:rsid w:val="0016208F"/>
    <w:rsid w:val="001621A7"/>
    <w:rsid w:val="001637B9"/>
    <w:rsid w:val="00163819"/>
    <w:rsid w:val="00164033"/>
    <w:rsid w:val="001711B5"/>
    <w:rsid w:val="00173197"/>
    <w:rsid w:val="00183293"/>
    <w:rsid w:val="00185AF4"/>
    <w:rsid w:val="00196093"/>
    <w:rsid w:val="001A3C15"/>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78D2"/>
    <w:rsid w:val="002C1138"/>
    <w:rsid w:val="002C3546"/>
    <w:rsid w:val="002C5EF4"/>
    <w:rsid w:val="002E0D15"/>
    <w:rsid w:val="002E302A"/>
    <w:rsid w:val="002E73DB"/>
    <w:rsid w:val="002F075A"/>
    <w:rsid w:val="00314756"/>
    <w:rsid w:val="00317CEB"/>
    <w:rsid w:val="003231B5"/>
    <w:rsid w:val="003237D3"/>
    <w:rsid w:val="003268C8"/>
    <w:rsid w:val="00330A17"/>
    <w:rsid w:val="00333B6F"/>
    <w:rsid w:val="00345020"/>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E7068"/>
    <w:rsid w:val="003F17CE"/>
    <w:rsid w:val="003F4F52"/>
    <w:rsid w:val="004019C8"/>
    <w:rsid w:val="00404D76"/>
    <w:rsid w:val="004078D3"/>
    <w:rsid w:val="004147DF"/>
    <w:rsid w:val="00416F62"/>
    <w:rsid w:val="00433118"/>
    <w:rsid w:val="00435745"/>
    <w:rsid w:val="0043798B"/>
    <w:rsid w:val="00452364"/>
    <w:rsid w:val="004723F8"/>
    <w:rsid w:val="004810A4"/>
    <w:rsid w:val="004833AB"/>
    <w:rsid w:val="00487650"/>
    <w:rsid w:val="00490152"/>
    <w:rsid w:val="004907B5"/>
    <w:rsid w:val="0049155E"/>
    <w:rsid w:val="00494CB6"/>
    <w:rsid w:val="00494E46"/>
    <w:rsid w:val="004A0648"/>
    <w:rsid w:val="004A21CF"/>
    <w:rsid w:val="004A3F43"/>
    <w:rsid w:val="004E4232"/>
    <w:rsid w:val="004E7478"/>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4993"/>
    <w:rsid w:val="00575334"/>
    <w:rsid w:val="00576D7B"/>
    <w:rsid w:val="00580372"/>
    <w:rsid w:val="00585123"/>
    <w:rsid w:val="00585BCB"/>
    <w:rsid w:val="005A1B0F"/>
    <w:rsid w:val="005B3CDD"/>
    <w:rsid w:val="005B71D5"/>
    <w:rsid w:val="005C3E12"/>
    <w:rsid w:val="005D466B"/>
    <w:rsid w:val="005D46BF"/>
    <w:rsid w:val="005E3CE8"/>
    <w:rsid w:val="005F18AC"/>
    <w:rsid w:val="005F3102"/>
    <w:rsid w:val="00611BBC"/>
    <w:rsid w:val="00617006"/>
    <w:rsid w:val="00634F0F"/>
    <w:rsid w:val="006360B2"/>
    <w:rsid w:val="00642C5E"/>
    <w:rsid w:val="00645277"/>
    <w:rsid w:val="00646B04"/>
    <w:rsid w:val="00650703"/>
    <w:rsid w:val="006519C0"/>
    <w:rsid w:val="006555E1"/>
    <w:rsid w:val="00662A64"/>
    <w:rsid w:val="00671A47"/>
    <w:rsid w:val="00684B7A"/>
    <w:rsid w:val="00693039"/>
    <w:rsid w:val="006971DA"/>
    <w:rsid w:val="006B584C"/>
    <w:rsid w:val="006B5C44"/>
    <w:rsid w:val="006B601E"/>
    <w:rsid w:val="006C66ED"/>
    <w:rsid w:val="006E1B46"/>
    <w:rsid w:val="006E21B4"/>
    <w:rsid w:val="006E4FD9"/>
    <w:rsid w:val="006E6BE4"/>
    <w:rsid w:val="006F5EB3"/>
    <w:rsid w:val="00700AEC"/>
    <w:rsid w:val="00707F3C"/>
    <w:rsid w:val="007148A2"/>
    <w:rsid w:val="00717796"/>
    <w:rsid w:val="00720F9F"/>
    <w:rsid w:val="00721803"/>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5E99"/>
    <w:rsid w:val="007A745C"/>
    <w:rsid w:val="007B13FF"/>
    <w:rsid w:val="007B492C"/>
    <w:rsid w:val="007D1A39"/>
    <w:rsid w:val="007D45AF"/>
    <w:rsid w:val="007E4499"/>
    <w:rsid w:val="007F39AB"/>
    <w:rsid w:val="007F3DB8"/>
    <w:rsid w:val="007F40E3"/>
    <w:rsid w:val="007F7FB8"/>
    <w:rsid w:val="0080338B"/>
    <w:rsid w:val="0081054B"/>
    <w:rsid w:val="00810B4C"/>
    <w:rsid w:val="00810C01"/>
    <w:rsid w:val="00813F68"/>
    <w:rsid w:val="008162E2"/>
    <w:rsid w:val="008236C2"/>
    <w:rsid w:val="0082759D"/>
    <w:rsid w:val="008505E7"/>
    <w:rsid w:val="0085312D"/>
    <w:rsid w:val="0085417E"/>
    <w:rsid w:val="00854EB4"/>
    <w:rsid w:val="00857AB8"/>
    <w:rsid w:val="00863C40"/>
    <w:rsid w:val="00867F56"/>
    <w:rsid w:val="0087392B"/>
    <w:rsid w:val="0087588A"/>
    <w:rsid w:val="00880055"/>
    <w:rsid w:val="008969CE"/>
    <w:rsid w:val="008A4D9B"/>
    <w:rsid w:val="008A6F91"/>
    <w:rsid w:val="008B3845"/>
    <w:rsid w:val="008B642A"/>
    <w:rsid w:val="008C1CEA"/>
    <w:rsid w:val="008C5876"/>
    <w:rsid w:val="008D0831"/>
    <w:rsid w:val="008E7F5E"/>
    <w:rsid w:val="008F12ED"/>
    <w:rsid w:val="008F1A12"/>
    <w:rsid w:val="008F1BAD"/>
    <w:rsid w:val="008F3BA1"/>
    <w:rsid w:val="008F4E0B"/>
    <w:rsid w:val="008F6287"/>
    <w:rsid w:val="009277A1"/>
    <w:rsid w:val="00965C34"/>
    <w:rsid w:val="00971E59"/>
    <w:rsid w:val="0097300B"/>
    <w:rsid w:val="00983D9E"/>
    <w:rsid w:val="009A1E0C"/>
    <w:rsid w:val="009A1FBA"/>
    <w:rsid w:val="009B2E1F"/>
    <w:rsid w:val="009B46AE"/>
    <w:rsid w:val="009B57CC"/>
    <w:rsid w:val="009B5A7A"/>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4E11"/>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85712"/>
    <w:rsid w:val="00A8652A"/>
    <w:rsid w:val="00A86668"/>
    <w:rsid w:val="00A86FF9"/>
    <w:rsid w:val="00A93BE2"/>
    <w:rsid w:val="00A9644F"/>
    <w:rsid w:val="00AA19FB"/>
    <w:rsid w:val="00AA1A1C"/>
    <w:rsid w:val="00AA2AF6"/>
    <w:rsid w:val="00AA44A9"/>
    <w:rsid w:val="00AA6A18"/>
    <w:rsid w:val="00AB39BE"/>
    <w:rsid w:val="00AB6AFF"/>
    <w:rsid w:val="00AC2005"/>
    <w:rsid w:val="00AD02B2"/>
    <w:rsid w:val="00AD1F2B"/>
    <w:rsid w:val="00AD2AB7"/>
    <w:rsid w:val="00AD6168"/>
    <w:rsid w:val="00AD7CD6"/>
    <w:rsid w:val="00AE06E8"/>
    <w:rsid w:val="00AE34E2"/>
    <w:rsid w:val="00AE3EBC"/>
    <w:rsid w:val="00AF17E5"/>
    <w:rsid w:val="00AF26A1"/>
    <w:rsid w:val="00B01D7F"/>
    <w:rsid w:val="00B11393"/>
    <w:rsid w:val="00B17776"/>
    <w:rsid w:val="00B32495"/>
    <w:rsid w:val="00B4361C"/>
    <w:rsid w:val="00B47596"/>
    <w:rsid w:val="00B64B46"/>
    <w:rsid w:val="00B671EE"/>
    <w:rsid w:val="00B72FE8"/>
    <w:rsid w:val="00BA0F7E"/>
    <w:rsid w:val="00BA1886"/>
    <w:rsid w:val="00BA2561"/>
    <w:rsid w:val="00BA5739"/>
    <w:rsid w:val="00BB06BF"/>
    <w:rsid w:val="00BB5FA3"/>
    <w:rsid w:val="00BC1AF0"/>
    <w:rsid w:val="00BC20C1"/>
    <w:rsid w:val="00BC2EDA"/>
    <w:rsid w:val="00BF1281"/>
    <w:rsid w:val="00C02388"/>
    <w:rsid w:val="00C03F69"/>
    <w:rsid w:val="00C12BF7"/>
    <w:rsid w:val="00C168A6"/>
    <w:rsid w:val="00C21F43"/>
    <w:rsid w:val="00C22556"/>
    <w:rsid w:val="00C30BA2"/>
    <w:rsid w:val="00C32809"/>
    <w:rsid w:val="00C34597"/>
    <w:rsid w:val="00C4765E"/>
    <w:rsid w:val="00C4786A"/>
    <w:rsid w:val="00C503D7"/>
    <w:rsid w:val="00C50930"/>
    <w:rsid w:val="00C530EF"/>
    <w:rsid w:val="00C6149A"/>
    <w:rsid w:val="00C74DF7"/>
    <w:rsid w:val="00C80B4A"/>
    <w:rsid w:val="00C94D01"/>
    <w:rsid w:val="00C95837"/>
    <w:rsid w:val="00CA1E7B"/>
    <w:rsid w:val="00CB60D4"/>
    <w:rsid w:val="00CC32CC"/>
    <w:rsid w:val="00CC375A"/>
    <w:rsid w:val="00CC40EA"/>
    <w:rsid w:val="00CC67BF"/>
    <w:rsid w:val="00CD0C69"/>
    <w:rsid w:val="00CD5D0F"/>
    <w:rsid w:val="00CD63FD"/>
    <w:rsid w:val="00CE08C6"/>
    <w:rsid w:val="00CE6163"/>
    <w:rsid w:val="00CE7435"/>
    <w:rsid w:val="00CF2A19"/>
    <w:rsid w:val="00D13894"/>
    <w:rsid w:val="00D1574C"/>
    <w:rsid w:val="00D15C85"/>
    <w:rsid w:val="00D27FCA"/>
    <w:rsid w:val="00D32010"/>
    <w:rsid w:val="00D33586"/>
    <w:rsid w:val="00D34EC5"/>
    <w:rsid w:val="00D4194C"/>
    <w:rsid w:val="00D57C09"/>
    <w:rsid w:val="00D62521"/>
    <w:rsid w:val="00D65686"/>
    <w:rsid w:val="00D665EF"/>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49EE"/>
    <w:rsid w:val="00E26850"/>
    <w:rsid w:val="00E3192A"/>
    <w:rsid w:val="00E327CE"/>
    <w:rsid w:val="00E33060"/>
    <w:rsid w:val="00E35931"/>
    <w:rsid w:val="00E36A5A"/>
    <w:rsid w:val="00E40235"/>
    <w:rsid w:val="00E4418C"/>
    <w:rsid w:val="00E46032"/>
    <w:rsid w:val="00E50B9B"/>
    <w:rsid w:val="00E51D08"/>
    <w:rsid w:val="00E612C7"/>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5A59"/>
    <w:rsid w:val="00F630C2"/>
    <w:rsid w:val="00F94A2E"/>
    <w:rsid w:val="00FA5344"/>
    <w:rsid w:val="00FA5F58"/>
    <w:rsid w:val="00FB2E94"/>
    <w:rsid w:val="00FC1933"/>
    <w:rsid w:val="00FC35C7"/>
    <w:rsid w:val="00FD1F54"/>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p.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brovo.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p.bg/fckedit2/user/File/bg/practika/MU4_2018.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c.europa.eu/tools/espd"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0D7F7-827F-43FB-B8A9-09C8F512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20</Pages>
  <Words>8899</Words>
  <Characters>50729</Characters>
  <Application>Microsoft Office Word</Application>
  <DocSecurity>0</DocSecurity>
  <Lines>422</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59509</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49</cp:revision>
  <cp:lastPrinted>2018-04-13T05:41:00Z</cp:lastPrinted>
  <dcterms:created xsi:type="dcterms:W3CDTF">2017-10-13T10:40:00Z</dcterms:created>
  <dcterms:modified xsi:type="dcterms:W3CDTF">2018-04-18T05:07:00Z</dcterms:modified>
</cp:coreProperties>
</file>